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48"/>
          <w:szCs w:val="48"/>
        </w:rPr>
      </w:pPr>
      <w:r>
        <w:rPr>
          <w:rFonts w:hint="eastAsia" w:ascii="宋体" w:hAnsi="宋体" w:eastAsia="宋体"/>
          <w:sz w:val="48"/>
          <w:szCs w:val="48"/>
        </w:rPr>
        <w:t>河海大学</w:t>
      </w:r>
      <w:r>
        <w:rPr>
          <w:rFonts w:ascii="宋体" w:hAnsi="宋体" w:eastAsia="宋体"/>
          <w:sz w:val="48"/>
          <w:szCs w:val="48"/>
        </w:rPr>
        <w:t>研究生</w:t>
      </w:r>
      <w:r>
        <w:rPr>
          <w:rFonts w:hint="eastAsia" w:ascii="宋体" w:hAnsi="宋体" w:eastAsia="宋体"/>
          <w:sz w:val="48"/>
          <w:szCs w:val="48"/>
        </w:rPr>
        <w:t>教育教学管理系统</w:t>
      </w:r>
    </w:p>
    <w:p>
      <w:pPr>
        <w:jc w:val="center"/>
        <w:rPr>
          <w:rFonts w:ascii="宋体" w:hAnsi="宋体" w:eastAsia="宋体"/>
          <w:sz w:val="48"/>
          <w:szCs w:val="48"/>
        </w:rPr>
      </w:pPr>
      <w:r>
        <w:rPr>
          <w:rFonts w:hint="eastAsia" w:ascii="宋体" w:hAnsi="宋体" w:eastAsia="宋体"/>
          <w:sz w:val="48"/>
          <w:szCs w:val="48"/>
        </w:rPr>
        <w:t>导师</w:t>
      </w:r>
      <w:r>
        <w:rPr>
          <w:rFonts w:ascii="宋体" w:hAnsi="宋体" w:eastAsia="宋体"/>
          <w:sz w:val="48"/>
          <w:szCs w:val="48"/>
        </w:rPr>
        <w:t>端</w:t>
      </w:r>
    </w:p>
    <w:p>
      <w:pPr>
        <w:jc w:val="center"/>
        <w:rPr>
          <w:rFonts w:ascii="宋体" w:hAnsi="宋体" w:eastAsia="宋体"/>
          <w:sz w:val="48"/>
          <w:szCs w:val="48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hint="eastAsia" w:ascii="宋体" w:hAnsi="宋体" w:eastAsia="宋体"/>
          <w:sz w:val="44"/>
          <w:szCs w:val="44"/>
        </w:rPr>
        <w:t>版本：G</w:t>
      </w:r>
      <w:r>
        <w:rPr>
          <w:rFonts w:ascii="宋体" w:hAnsi="宋体" w:eastAsia="宋体"/>
          <w:sz w:val="44"/>
          <w:szCs w:val="44"/>
        </w:rPr>
        <w:t>MIS</w:t>
      </w:r>
      <w:r>
        <w:rPr>
          <w:rFonts w:hint="eastAsia" w:ascii="宋体" w:hAnsi="宋体" w:eastAsia="宋体"/>
          <w:sz w:val="44"/>
          <w:szCs w:val="44"/>
        </w:rPr>
        <w:t>5.0</w:t>
      </w:r>
    </w:p>
    <w:p>
      <w:pPr>
        <w:jc w:val="center"/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操</w:t>
      </w:r>
    </w:p>
    <w:p>
      <w:pPr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作</w:t>
      </w:r>
    </w:p>
    <w:p>
      <w:pPr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手</w:t>
      </w:r>
    </w:p>
    <w:p>
      <w:pPr>
        <w:rPr>
          <w:rFonts w:ascii="宋体" w:hAnsi="宋体" w:eastAsia="宋体"/>
          <w:sz w:val="44"/>
          <w:szCs w:val="44"/>
        </w:rPr>
      </w:pPr>
    </w:p>
    <w:p>
      <w:pPr>
        <w:jc w:val="center"/>
        <w:rPr>
          <w:rFonts w:ascii="宋体" w:hAnsi="宋体" w:eastAsia="宋体"/>
          <w:sz w:val="44"/>
          <w:szCs w:val="44"/>
        </w:rPr>
      </w:pPr>
      <w:r>
        <w:rPr>
          <w:rFonts w:ascii="宋体" w:hAnsi="宋体" w:eastAsia="宋体"/>
          <w:sz w:val="44"/>
          <w:szCs w:val="44"/>
        </w:rPr>
        <w:t>册</w:t>
      </w: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jc w:val="center"/>
        <w:rPr>
          <w:rFonts w:ascii="宋体" w:hAnsi="宋体" w:eastAsia="宋体"/>
          <w:sz w:val="40"/>
          <w:szCs w:val="40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rPr>
          <w:rFonts w:ascii="宋体" w:hAnsi="宋体" w:eastAsia="宋体"/>
          <w:sz w:val="24"/>
        </w:rPr>
      </w:pPr>
    </w:p>
    <w:p>
      <w:pPr>
        <w:spacing w:line="360" w:lineRule="auto"/>
        <w:ind w:firstLine="600" w:firstLineChars="200"/>
        <w:jc w:val="center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>南京南软科技有限公司</w:t>
      </w:r>
    </w:p>
    <w:p>
      <w:pPr>
        <w:spacing w:line="360" w:lineRule="auto"/>
        <w:ind w:firstLine="600" w:firstLineChars="200"/>
        <w:jc w:val="center"/>
        <w:rPr>
          <w:rFonts w:ascii="宋体" w:hAnsi="宋体" w:eastAsia="宋体"/>
          <w:sz w:val="30"/>
          <w:szCs w:val="30"/>
        </w:rPr>
      </w:pPr>
      <w:r>
        <w:rPr>
          <w:rFonts w:ascii="宋体" w:hAnsi="宋体" w:eastAsia="宋体"/>
          <w:sz w:val="30"/>
          <w:szCs w:val="30"/>
        </w:rPr>
        <w:t xml:space="preserve"> 202</w:t>
      </w:r>
      <w:r>
        <w:rPr>
          <w:rFonts w:hint="eastAsia" w:ascii="宋体" w:hAnsi="宋体" w:eastAsia="宋体"/>
          <w:sz w:val="30"/>
          <w:szCs w:val="30"/>
        </w:rPr>
        <w:t>1</w:t>
      </w:r>
      <w:r>
        <w:rPr>
          <w:rFonts w:ascii="宋体" w:hAnsi="宋体" w:eastAsia="宋体"/>
          <w:sz w:val="30"/>
          <w:szCs w:val="30"/>
        </w:rPr>
        <w:t>年</w:t>
      </w:r>
      <w:r>
        <w:rPr>
          <w:rFonts w:hint="eastAsia" w:ascii="宋体" w:hAnsi="宋体" w:eastAsia="宋体"/>
          <w:sz w:val="30"/>
          <w:szCs w:val="30"/>
        </w:rPr>
        <w:t>01</w:t>
      </w:r>
      <w:r>
        <w:rPr>
          <w:rFonts w:ascii="宋体" w:hAnsi="宋体" w:eastAsia="宋体"/>
          <w:sz w:val="30"/>
          <w:szCs w:val="30"/>
        </w:rPr>
        <w:t>月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hint="default" w:ascii="宋体" w:hAnsi="宋体" w:eastAsia="宋体"/>
          <w:lang w:val="en-US" w:eastAsia="zh-CN"/>
        </w:rPr>
      </w:pPr>
    </w:p>
    <w:p>
      <w:pPr>
        <w:rPr>
          <w:rFonts w:ascii="宋体" w:hAnsi="宋体" w:eastAsia="宋体"/>
          <w:b/>
          <w:szCs w:val="21"/>
        </w:rPr>
      </w:pPr>
      <w:r>
        <w:rPr>
          <w:rFonts w:ascii="宋体" w:hAnsi="宋体" w:eastAsia="宋体"/>
          <w:b/>
          <w:szCs w:val="21"/>
        </w:rPr>
        <w:t xml:space="preserve">地址：雨花客厅3幢8层803 </w:t>
      </w:r>
    </w:p>
    <w:p/>
    <w:p>
      <w:pPr>
        <w:widowControl/>
        <w:jc w:val="left"/>
      </w:pPr>
      <w:r>
        <w:br w:type="page"/>
      </w: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8057"/>
        <w15:color w:val="DBDBDB"/>
        <w:docPartObj>
          <w:docPartGallery w:val="Table of Contents"/>
          <w:docPartUnique/>
        </w:docPartObj>
      </w:sdtPr>
      <w:sdtEndP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</w:t>
          </w:r>
          <w:r>
            <w:rPr>
              <w:rFonts w:hint="eastAsia" w:ascii="宋体" w:hAnsi="宋体" w:eastAsia="宋体"/>
              <w:sz w:val="21"/>
              <w:lang w:val="en-US" w:eastAsia="zh-CN"/>
            </w:rPr>
            <w:t xml:space="preserve"> </w:t>
          </w:r>
          <w:r>
            <w:rPr>
              <w:rFonts w:ascii="宋体" w:hAnsi="宋体" w:eastAsia="宋体"/>
              <w:sz w:val="21"/>
            </w:rPr>
            <w:t>录</w:t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left="0" w:leftChars="0" w:firstLine="0" w:firstLineChars="0"/>
            <w:textAlignment w:val="auto"/>
            <w:rPr>
              <w:rFonts w:cs="宋体"/>
              <w:szCs w:val="24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_Toc11806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一、 用户登录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_Toc11806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1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_Toc21090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二、导师培养管理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_Toc21090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2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_Toc14395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2.1开题申请审核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_Toc14395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2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_Toc7862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三、科研成果管理</w:t>
          </w:r>
          <w:r>
            <w:rPr>
              <w:rFonts w:hint="eastAsia" w:cs="宋体"/>
              <w:szCs w:val="24"/>
              <w:lang w:eastAsia="zh-CN"/>
            </w:rPr>
            <w:t>（</w:t>
          </w:r>
          <w:r>
            <w:rPr>
              <w:rFonts w:hint="eastAsia" w:cs="宋体"/>
              <w:szCs w:val="24"/>
              <w:lang w:val="en-US" w:eastAsia="zh-CN"/>
            </w:rPr>
            <w:t>专硕没有可不填</w:t>
          </w:r>
          <w:r>
            <w:rPr>
              <w:rFonts w:hint="eastAsia" w:cs="宋体"/>
              <w:szCs w:val="24"/>
              <w:lang w:eastAsia="zh-CN"/>
            </w:rPr>
            <w:t>）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_Toc7862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4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_Toc13152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3.1学生发表论文审核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_Toc13152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4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_Toc11388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四、毕业学位管理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_Toc11388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5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_Toc11663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4.1中期检查审核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_Toc11663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5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_Toc28691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4.2论文预审审核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_Toc28691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6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cs="宋体"/>
              <w:szCs w:val="24"/>
            </w:rPr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_Toc30333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</w:rPr>
            <w:t>4.3</w:t>
          </w:r>
          <w:r>
            <w:rPr>
              <w:rFonts w:hint="eastAsia" w:cs="宋体"/>
              <w:szCs w:val="24"/>
              <w:lang w:val="en-US" w:eastAsia="zh-CN"/>
            </w:rPr>
            <w:t>论文预答辩申请审核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_Toc30333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7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HYPERLINK \l _Toc23501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hint="eastAsia" w:cs="宋体"/>
              <w:szCs w:val="24"/>
              <w:lang w:val="en-US" w:eastAsia="zh-CN"/>
            </w:rPr>
            <w:t>4.4</w:t>
          </w:r>
          <w:r>
            <w:rPr>
              <w:rFonts w:hint="eastAsia" w:cs="宋体"/>
              <w:szCs w:val="24"/>
            </w:rPr>
            <w:t>查重论文审核</w:t>
          </w:r>
          <w:r>
            <w:rPr>
              <w:rFonts w:cs="宋体"/>
              <w:szCs w:val="24"/>
            </w:rPr>
            <w:tab/>
          </w:r>
          <w:r>
            <w:rPr>
              <w:rFonts w:cs="宋体"/>
              <w:szCs w:val="24"/>
            </w:rPr>
            <w:fldChar w:fldCharType="begin"/>
          </w:r>
          <w:r>
            <w:rPr>
              <w:rFonts w:cs="宋体"/>
              <w:szCs w:val="24"/>
            </w:rPr>
            <w:instrText xml:space="preserve"> PAGEREF _Toc23501 </w:instrText>
          </w:r>
          <w:r>
            <w:rPr>
              <w:rFonts w:cs="宋体"/>
              <w:szCs w:val="24"/>
            </w:rPr>
            <w:fldChar w:fldCharType="separate"/>
          </w:r>
          <w:r>
            <w:rPr>
              <w:rFonts w:cs="宋体"/>
              <w:szCs w:val="24"/>
            </w:rPr>
            <w:t>8</w:t>
          </w:r>
          <w:r>
            <w:rPr>
              <w:rFonts w:cs="宋体"/>
              <w:szCs w:val="24"/>
            </w:rPr>
            <w:fldChar w:fldCharType="end"/>
          </w:r>
          <w:r>
            <w:rPr>
              <w:rFonts w:cs="宋体"/>
              <w:szCs w:val="24"/>
            </w:rPr>
            <w:fldChar w:fldCharType="end"/>
          </w:r>
        </w:p>
        <w:p>
          <w:pPr>
            <w:widowControl/>
            <w:jc w:val="left"/>
            <w:rPr>
              <w:rFonts w:ascii="等线" w:hAnsi="等线" w:eastAsia="等线" w:cs="Times New Roman"/>
              <w:kern w:val="2"/>
              <w:sz w:val="21"/>
              <w:szCs w:val="22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widowControl/>
        <w:jc w:val="left"/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</w:pPr>
    </w:p>
    <w:p>
      <w:pPr>
        <w:pStyle w:val="3"/>
      </w:pPr>
      <w:r>
        <w:rPr>
          <w:rFonts w:hint="eastAsia"/>
        </w:rPr>
        <w:t>前言</w:t>
      </w:r>
    </w:p>
    <w:p>
      <w:pPr>
        <w:widowControl/>
        <w:ind w:firstLine="420" w:firstLineChars="200"/>
        <w:jc w:val="lef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研究生申请学位论文开题、预审、中期检查、博士学位论文盲评到归档结束各环节均须登录【研究生教育教学管理系统】进行。所有申请学位研究生均须按要求填写相关信息，提交申请，查询进展。</w:t>
      </w:r>
    </w:p>
    <w:p>
      <w:pPr>
        <w:pStyle w:val="2"/>
        <w:numPr>
          <w:ilvl w:val="0"/>
          <w:numId w:val="1"/>
        </w:numPr>
        <w:outlineLvl w:val="0"/>
        <w:rPr>
          <w:rFonts w:hint="eastAsia"/>
        </w:rPr>
      </w:pPr>
      <w:bookmarkStart w:id="0" w:name="_Toc51169625"/>
      <w:bookmarkStart w:id="1" w:name="_Toc11806"/>
      <w:r>
        <w:rPr>
          <w:rFonts w:hint="eastAsia"/>
        </w:rPr>
        <w:t>用户登录</w:t>
      </w:r>
      <w:bookmarkEnd w:id="0"/>
      <w:bookmarkEnd w:id="1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系统登录方法为：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校内导师进入信息门户-研究生系统，账号和密码登录，如图1.1</w:t>
      </w:r>
      <w:r>
        <w:rPr>
          <w:rFonts w:hint="eastAsia" w:ascii="宋体" w:hAnsi="宋体" w:eastAsia="宋体"/>
          <w:szCs w:val="21"/>
          <w:lang w:val="en-US" w:eastAsia="zh-CN"/>
        </w:rPr>
        <w:t>；校外专家登录“研究生教育教学管理系统（教工端），如图1.2”（http://yjss.hhu.edu.cn/gmis/home/stulogin）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inline distT="0" distB="0" distL="114300" distR="114300">
            <wp:extent cx="5268595" cy="3248025"/>
            <wp:effectExtent l="0" t="0" r="4445" b="13335"/>
            <wp:docPr id="11" name="图片 11" descr="16116500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165004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420" w:firstLineChars="200"/>
        <w:jc w:val="left"/>
        <w:rPr>
          <w:rFonts w:hint="eastAsia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图1.1  校内导师登陆界面</w:t>
      </w:r>
    </w:p>
    <w:p>
      <w:pPr>
        <w:widowControl/>
        <w:ind w:firstLine="420" w:firstLineChars="200"/>
        <w:jc w:val="left"/>
        <w:rPr>
          <w:rFonts w:hint="eastAsia" w:eastAsia="等线"/>
          <w:lang w:val="en-US" w:eastAsia="zh-CN"/>
        </w:rPr>
      </w:pPr>
      <w:r>
        <w:rPr>
          <w:rFonts w:hint="eastAsia" w:eastAsia="等线"/>
          <w:lang w:val="en-US" w:eastAsia="zh-CN"/>
        </w:rPr>
        <w:drawing>
          <wp:inline distT="0" distB="0" distL="114300" distR="114300">
            <wp:extent cx="5271135" cy="2644140"/>
            <wp:effectExtent l="0" t="0" r="1905" b="7620"/>
            <wp:docPr id="14" name="图片 14" descr="16116502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165020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 w:ascii="宋体" w:hAnsi="宋体" w:eastAsia="宋体" w:cs="Times New Roman"/>
          <w:b w:val="0"/>
          <w:bCs w:val="0"/>
          <w:kern w:val="2"/>
          <w:sz w:val="21"/>
          <w:szCs w:val="21"/>
          <w:lang w:val="en-US" w:eastAsia="zh-CN" w:bidi="ar-SA"/>
        </w:rPr>
      </w:pPr>
      <w:bookmarkStart w:id="2" w:name="_Toc52124205"/>
      <w:r>
        <w:rPr>
          <w:rFonts w:hint="eastAsia" w:ascii="宋体" w:hAnsi="宋体" w:eastAsia="宋体" w:cs="Times New Roman"/>
          <w:b w:val="0"/>
          <w:bCs w:val="0"/>
          <w:kern w:val="2"/>
          <w:sz w:val="21"/>
          <w:szCs w:val="21"/>
          <w:lang w:val="en-US" w:eastAsia="zh-CN" w:bidi="ar-SA"/>
        </w:rPr>
        <w:t>图1.2  校外导师登陆界面</w:t>
      </w:r>
    </w:p>
    <w:p>
      <w:pPr>
        <w:pStyle w:val="3"/>
        <w:outlineLvl w:val="0"/>
      </w:pPr>
      <w:bookmarkStart w:id="3" w:name="_Toc21090"/>
      <w:r>
        <w:rPr>
          <w:rFonts w:hint="eastAsia"/>
        </w:rPr>
        <w:t>二、</w:t>
      </w:r>
      <w:bookmarkEnd w:id="2"/>
      <w:r>
        <w:rPr>
          <w:rFonts w:hint="eastAsia"/>
        </w:rPr>
        <w:t>导师培养管理</w:t>
      </w:r>
      <w:bookmarkEnd w:id="3"/>
    </w:p>
    <w:p>
      <w:pPr>
        <w:pStyle w:val="4"/>
        <w:outlineLvl w:val="1"/>
        <w:rPr>
          <w:rFonts w:hint="eastAsia"/>
        </w:rPr>
      </w:pPr>
      <w:bookmarkStart w:id="4" w:name="_Toc14395"/>
      <w:r>
        <w:rPr>
          <w:rFonts w:hint="eastAsia"/>
        </w:rPr>
        <w:t>2.1开题申请审核</w:t>
      </w:r>
      <w:bookmarkEnd w:id="4"/>
      <w:r>
        <w:rPr>
          <w:rFonts w:hint="eastAsia"/>
        </w:rP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功能说明：用于审核学生填报的开题信息，以及下载查看开题报告和综述报告。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进入开题申请审核页面 如图2.1.1，可以查询相关提交开题信息的学生。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点击附件【下载】按钮，可下载学生上传的开题报告。</w:t>
      </w:r>
    </w:p>
    <w:p>
      <w:pPr>
        <w:pStyle w:val="16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点击【审核】按钮，进入审核界面 如图2.1.2，图2.1.3，填写导师意见。点击【确定】按钮，审核通过该生。点击【撤销审核】按钮，撤销导师审核状态（一般是误操作审核，可点击撤销审核）。点击【驳回重新提交】按钮，驳回开题信息，学生需重新修改后，再次提交审核。点击【返回】按钮，返回初始页面。</w:t>
      </w:r>
    </w:p>
    <w:p>
      <w:pPr>
        <w:jc w:val="center"/>
      </w:pPr>
      <w:r>
        <w:drawing>
          <wp:inline distT="0" distB="0" distL="0" distR="0">
            <wp:extent cx="5274310" cy="24168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图2.1.1</w:t>
      </w:r>
      <w:r>
        <w:t xml:space="preserve"> </w:t>
      </w:r>
      <w:r>
        <w:rPr>
          <w:rFonts w:hint="eastAsia"/>
        </w:rPr>
        <w:t>开题信息审核</w:t>
      </w:r>
    </w:p>
    <w:p>
      <w:pPr>
        <w:jc w:val="center"/>
      </w:pPr>
      <w:r>
        <w:drawing>
          <wp:inline distT="0" distB="0" distL="0" distR="0">
            <wp:extent cx="5274310" cy="25215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图2.1.2</w:t>
      </w:r>
      <w:r>
        <w:t xml:space="preserve"> </w:t>
      </w:r>
      <w:r>
        <w:rPr>
          <w:rFonts w:hint="eastAsia"/>
        </w:rPr>
        <w:t>审核界面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25736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图2.1.3</w:t>
      </w:r>
      <w:r>
        <w:t xml:space="preserve"> </w:t>
      </w:r>
      <w:r>
        <w:rPr>
          <w:rFonts w:hint="eastAsia"/>
        </w:rPr>
        <w:t>意见填写</w:t>
      </w:r>
    </w:p>
    <w:p>
      <w:pPr>
        <w:pStyle w:val="3"/>
        <w:outlineLvl w:val="0"/>
      </w:pPr>
      <w:bookmarkStart w:id="5" w:name="_Toc7862"/>
      <w:r>
        <w:rPr>
          <w:rFonts w:hint="eastAsia"/>
        </w:rPr>
        <w:t>三、科研成果管理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  <w:bookmarkEnd w:id="5"/>
    </w:p>
    <w:p>
      <w:pPr>
        <w:pStyle w:val="4"/>
        <w:outlineLvl w:val="1"/>
        <w:rPr>
          <w:rFonts w:hint="eastAsia"/>
        </w:rPr>
      </w:pPr>
      <w:bookmarkStart w:id="6" w:name="_Toc13152"/>
      <w:r>
        <w:rPr>
          <w:rFonts w:hint="eastAsia"/>
        </w:rPr>
        <w:t>3.1学生发表论文审核</w:t>
      </w:r>
      <w:bookmarkEnd w:id="6"/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功能说明：用于查看审核学生登记的小论文。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进入发表小论文审核页面 如图3.1.1，可以查询相关学生登记的发表论文信息。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点击附件【下载】按钮，下载支撑材料，辅助审核。点击详细【查看】按钮，进入如图3.1.2界面，查看详细信息。</w:t>
      </w:r>
    </w:p>
    <w:p>
      <w:pPr>
        <w:pStyle w:val="16"/>
        <w:numPr>
          <w:ilvl w:val="0"/>
          <w:numId w:val="3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学生，点击【确定】按钮，审核通过。点击【撤销审核】按钮，撤销导师审核状态（一般是误操作审核，可点击撤销审核）。点击【驳回提交】按钮，驳回发表论文信息，学生需重新修改后，再次提交审核。点击【导出数据】，导出学生论文科研成果信息。</w:t>
      </w:r>
    </w:p>
    <w:p>
      <w:r>
        <w:drawing>
          <wp:inline distT="0" distB="0" distL="0" distR="0">
            <wp:extent cx="5274310" cy="200406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图3.1.1</w:t>
      </w:r>
      <w:r>
        <w:t xml:space="preserve"> </w:t>
      </w:r>
      <w:r>
        <w:rPr>
          <w:rFonts w:hint="eastAsia"/>
        </w:rPr>
        <w:t>发表论文审核</w:t>
      </w:r>
    </w:p>
    <w:p>
      <w:r>
        <w:drawing>
          <wp:inline distT="0" distB="0" distL="0" distR="0">
            <wp:extent cx="5274310" cy="2667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图3.1.2</w:t>
      </w:r>
      <w:r>
        <w:t xml:space="preserve"> </w:t>
      </w:r>
      <w:r>
        <w:rPr>
          <w:rFonts w:hint="eastAsia"/>
        </w:rPr>
        <w:t>详细信息</w:t>
      </w:r>
    </w:p>
    <w:p>
      <w:pPr>
        <w:pStyle w:val="3"/>
        <w:outlineLvl w:val="0"/>
      </w:pPr>
      <w:bookmarkStart w:id="7" w:name="_Toc11388"/>
      <w:r>
        <w:rPr>
          <w:rFonts w:hint="eastAsia"/>
        </w:rPr>
        <w:t>四、毕业学位管理</w:t>
      </w:r>
      <w:bookmarkEnd w:id="7"/>
    </w:p>
    <w:p>
      <w:pPr>
        <w:pStyle w:val="4"/>
        <w:outlineLvl w:val="1"/>
      </w:pPr>
      <w:bookmarkStart w:id="8" w:name="_Toc11663"/>
      <w:r>
        <w:rPr>
          <w:rFonts w:hint="eastAsia"/>
        </w:rPr>
        <w:t>4.1中期检查审核</w:t>
      </w:r>
      <w:bookmarkEnd w:id="8"/>
      <w: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功能说明：用于审核学生论文中期信息。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进入中期检查审核页面 如图4.1.1，可以查询中期检查申请。勾选学生，选择审核状态，点击【确定】按钮，确定审核。点击【撤销审核】按钮，撤销导师审核状态（一般是误操作审核，可点击撤销审核）。点击【驳回重新提交】按钮，驳回申请，学生需重新修改后，再次提交审核</w:t>
      </w:r>
    </w:p>
    <w:p>
      <w:pPr>
        <w:pStyle w:val="16"/>
        <w:numPr>
          <w:ilvl w:val="0"/>
          <w:numId w:val="4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【审核】按钮，进入如图4.1.2界面，查看详细信息。填写导师意见，选择审核状态，点击【确定】按钮，确定审核。点击【撤销】按钮，撤销导师审核状态（一般是误操作审核，可点击撤销审核）。点击【驳回】按钮，驳回申请，学生需重新修改后，再次提交审核。点击【返回】按钮，返回上一界面。</w:t>
      </w:r>
    </w:p>
    <w:p>
      <w:r>
        <w:drawing>
          <wp:inline distT="0" distB="0" distL="0" distR="0">
            <wp:extent cx="5274310" cy="23571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图4.1.1</w:t>
      </w:r>
      <w:r>
        <w:t xml:space="preserve"> </w:t>
      </w:r>
      <w:r>
        <w:rPr>
          <w:rFonts w:hint="eastAsia"/>
        </w:rPr>
        <w:t>中期审核</w:t>
      </w:r>
    </w:p>
    <w:p>
      <w:r>
        <w:drawing>
          <wp:inline distT="0" distB="0" distL="0" distR="0">
            <wp:extent cx="5274310" cy="25361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图4.1.2</w:t>
      </w:r>
      <w:r>
        <w:t xml:space="preserve"> </w:t>
      </w:r>
      <w:r>
        <w:rPr>
          <w:rFonts w:hint="eastAsia"/>
        </w:rPr>
        <w:t>意见填写审核</w:t>
      </w:r>
    </w:p>
    <w:p>
      <w:pPr>
        <w:pStyle w:val="4"/>
        <w:outlineLvl w:val="1"/>
      </w:pPr>
      <w:bookmarkStart w:id="9" w:name="_Toc28691"/>
      <w:r>
        <w:rPr>
          <w:rFonts w:hint="eastAsia"/>
        </w:rPr>
        <w:t>4.2论文预审审核</w:t>
      </w:r>
      <w:bookmarkEnd w:id="9"/>
      <w:r>
        <w:t xml:space="preserve"> 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功能说明：用于审核学生预审论文，反馈意见到学生。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进入论文预审审核页面 如图4.2.1，可以查询预审申请。勾选学生，填写预审结论，选择审核状态，点击【确定】按钮，确定审核。点击【撤销审核】按钮，撤销导师审核状态（一般是误操作审核，可点击撤销审核）。点击【驳回重新提交】按钮，驳回申请，学生需重新修改后，再次提交审核。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【审核】按钮，进入如图4.2.2界面，查看详细信息。点击【已上传，下载】按钮，下载学生预审论文信息。填写导师预审结论，确认审核各内容情况以及填写相应修改意见。点击【审核】按钮，确定审核。点击【撤销】按钮，撤销导师审核状态（一般是误操作审核，可点击撤销审核）。点击【返回】按钮，返回上一界面。</w:t>
      </w:r>
    </w:p>
    <w:p>
      <w:r>
        <w:drawing>
          <wp:inline distT="0" distB="0" distL="0" distR="0">
            <wp:extent cx="5274310" cy="25901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图4.2.1</w:t>
      </w:r>
      <w:r>
        <w:t xml:space="preserve"> </w:t>
      </w:r>
      <w:r>
        <w:rPr>
          <w:rFonts w:hint="eastAsia"/>
        </w:rPr>
        <w:t>论文预审审核</w:t>
      </w:r>
    </w:p>
    <w:p>
      <w:r>
        <w:drawing>
          <wp:inline distT="0" distB="0" distL="0" distR="0">
            <wp:extent cx="5274310" cy="26231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图4.2.2</w:t>
      </w:r>
      <w:r>
        <w:t xml:space="preserve"> </w:t>
      </w:r>
      <w:r>
        <w:rPr>
          <w:rFonts w:hint="eastAsia"/>
        </w:rPr>
        <w:t>预审结论意见</w:t>
      </w:r>
    </w:p>
    <w:p>
      <w:pPr>
        <w:pStyle w:val="4"/>
        <w:outlineLvl w:val="1"/>
        <w:rPr>
          <w:rFonts w:hint="default" w:ascii="宋体" w:hAnsi="宋体" w:eastAsiaTheme="majorEastAsia"/>
          <w:szCs w:val="21"/>
          <w:lang w:val="en-US" w:eastAsia="zh-CN"/>
        </w:rPr>
      </w:pPr>
      <w:bookmarkStart w:id="10" w:name="_Toc30333"/>
      <w:r>
        <w:rPr>
          <w:rFonts w:hint="eastAsia"/>
        </w:rPr>
        <w:t>4.3</w:t>
      </w:r>
      <w:r>
        <w:rPr>
          <w:rFonts w:hint="eastAsia"/>
          <w:lang w:val="en-US" w:eastAsia="zh-CN"/>
        </w:rPr>
        <w:t xml:space="preserve">  论文预答辩申请审核</w:t>
      </w:r>
      <w:bookmarkEnd w:id="10"/>
    </w:p>
    <w:p>
      <w:pPr>
        <w:spacing w:line="360" w:lineRule="auto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.。。。。。。。。。。后续更新</w:t>
      </w:r>
    </w:p>
    <w:p/>
    <w:p/>
    <w:p/>
    <w:p/>
    <w:p>
      <w:pPr>
        <w:pStyle w:val="4"/>
        <w:outlineLvl w:val="1"/>
      </w:pPr>
      <w:bookmarkStart w:id="11" w:name="_Toc23501"/>
      <w:r>
        <w:rPr>
          <w:rFonts w:hint="eastAsia"/>
          <w:lang w:val="en-US" w:eastAsia="zh-CN"/>
        </w:rPr>
        <w:t>4.4 查</w:t>
      </w:r>
      <w:r>
        <w:rPr>
          <w:rFonts w:hint="eastAsia"/>
        </w:rPr>
        <w:t>重</w:t>
      </w:r>
      <w:bookmarkStart w:id="12" w:name="_GoBack"/>
      <w:bookmarkEnd w:id="12"/>
      <w:r>
        <w:rPr>
          <w:rFonts w:hint="eastAsia"/>
        </w:rPr>
        <w:t>论文审核</w:t>
      </w:r>
      <w:bookmarkEnd w:id="11"/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功能说明：用于审核学生上传的查重送审论文。</w:t>
      </w:r>
    </w:p>
    <w:p>
      <w:pPr>
        <w:spacing w:line="360" w:lineRule="auto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操作说明：</w:t>
      </w:r>
    </w:p>
    <w:p>
      <w:pPr>
        <w:pStyle w:val="16"/>
        <w:numPr>
          <w:ilvl w:val="0"/>
          <w:numId w:val="6"/>
        </w:numPr>
        <w:spacing w:line="360" w:lineRule="auto"/>
        <w:ind w:left="425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进入查重论文审核页面 如图</w:t>
      </w:r>
      <w:r>
        <w:rPr>
          <w:rFonts w:hint="eastAsia" w:ascii="宋体" w:hAnsi="宋体" w:eastAsia="宋体"/>
          <w:szCs w:val="21"/>
          <w:lang w:val="en-US" w:eastAsia="zh-CN"/>
        </w:rPr>
        <w:t>4.4.</w:t>
      </w:r>
      <w:r>
        <w:rPr>
          <w:rFonts w:hint="eastAsia" w:ascii="宋体" w:hAnsi="宋体" w:eastAsia="宋体"/>
          <w:szCs w:val="21"/>
        </w:rPr>
        <w:t>1，可以查询相关提交论文评阅管理的学生信息。</w:t>
      </w:r>
    </w:p>
    <w:p>
      <w:pPr>
        <w:pStyle w:val="16"/>
        <w:numPr>
          <w:ilvl w:val="0"/>
          <w:numId w:val="6"/>
        </w:numPr>
        <w:spacing w:line="360" w:lineRule="auto"/>
        <w:ind w:left="425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点击查看学生成绩【详情】按钮，查看该生的成绩信息。点击查重论文【下载查看】，下载学生的查重论文。</w:t>
      </w:r>
    </w:p>
    <w:p>
      <w:pPr>
        <w:pStyle w:val="16"/>
        <w:numPr>
          <w:ilvl w:val="0"/>
          <w:numId w:val="6"/>
        </w:numPr>
        <w:spacing w:line="360" w:lineRule="auto"/>
        <w:ind w:left="425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勾选审核学生名单，下拉选择【导师审核通过】 如图</w:t>
      </w:r>
      <w:r>
        <w:rPr>
          <w:rFonts w:hint="eastAsia" w:ascii="宋体" w:hAnsi="宋体" w:eastAsia="宋体"/>
          <w:szCs w:val="21"/>
          <w:lang w:val="en-US" w:eastAsia="zh-CN"/>
        </w:rPr>
        <w:t>4.4.</w:t>
      </w:r>
      <w:r>
        <w:rPr>
          <w:rFonts w:hint="eastAsia" w:ascii="宋体" w:hAnsi="宋体" w:eastAsia="宋体"/>
          <w:szCs w:val="21"/>
        </w:rPr>
        <w:t>2，点击【确定】按钮，审核通过该生。</w:t>
      </w:r>
    </w:p>
    <w:p>
      <w:pPr>
        <w:pStyle w:val="16"/>
        <w:numPr>
          <w:ilvl w:val="0"/>
          <w:numId w:val="6"/>
        </w:numPr>
        <w:spacing w:line="360" w:lineRule="auto"/>
        <w:ind w:left="425" w:firstLine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若审核学生不通过，需勾选学生名单 如图</w:t>
      </w:r>
      <w:r>
        <w:rPr>
          <w:rFonts w:hint="eastAsia" w:ascii="宋体" w:hAnsi="宋体" w:eastAsia="宋体"/>
          <w:szCs w:val="21"/>
          <w:lang w:val="en-US" w:eastAsia="zh-CN"/>
        </w:rPr>
        <w:t>4.4.</w:t>
      </w:r>
      <w:r>
        <w:rPr>
          <w:rFonts w:hint="eastAsia" w:ascii="宋体" w:hAnsi="宋体" w:eastAsia="宋体"/>
          <w:szCs w:val="21"/>
        </w:rPr>
        <w:t>3，点击【驳回重新提交】按钮，驳回提交的信息。学生需重新修改上传，并走审核。</w:t>
      </w:r>
    </w:p>
    <w:p>
      <w:pPr>
        <w:pStyle w:val="16"/>
        <w:numPr>
          <w:ilvl w:val="0"/>
          <w:numId w:val="6"/>
        </w:numPr>
        <w:spacing w:line="360" w:lineRule="auto"/>
        <w:ind w:left="425" w:firstLineChars="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待学院审核通过，返回查重结果，可在此界面查看学生查重结果。若学生查重通过，将自动报名抽检，等待学院最终提交抽检名单给研究生院。若学生查重不通过，学生需填写（学位论文查重检测结果及处理意见反馈表</w:t>
      </w:r>
      <w:r>
        <w:rPr>
          <w:rFonts w:ascii="宋体" w:hAnsi="宋体" w:eastAsia="宋体"/>
          <w:szCs w:val="21"/>
        </w:rPr>
        <w:t>）,</w:t>
      </w:r>
      <w:r>
        <w:rPr>
          <w:rFonts w:hint="eastAsia" w:ascii="宋体" w:hAnsi="宋体" w:eastAsia="宋体"/>
          <w:szCs w:val="21"/>
        </w:rPr>
        <w:t>经导师签字同意，院系同意，上传系统备案后，方可报名抽检。</w:t>
      </w:r>
    </w:p>
    <w:p>
      <w:r>
        <w:drawing>
          <wp:inline distT="0" distB="0" distL="0" distR="0">
            <wp:extent cx="5274310" cy="2732405"/>
            <wp:effectExtent l="0" t="0" r="1397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4.4.</w:t>
      </w:r>
      <w:r>
        <w:rPr>
          <w:rFonts w:hint="eastAsia"/>
        </w:rPr>
        <w:t>1：查重论文审核</w:t>
      </w:r>
    </w:p>
    <w:p>
      <w:r>
        <w:drawing>
          <wp:inline distT="0" distB="0" distL="0" distR="0">
            <wp:extent cx="5274310" cy="2270125"/>
            <wp:effectExtent l="0" t="0" r="139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4.4.</w:t>
      </w:r>
      <w:r>
        <w:rPr>
          <w:rFonts w:hint="eastAsia"/>
        </w:rPr>
        <w:t>2：审核通过</w:t>
      </w:r>
    </w:p>
    <w:p>
      <w:r>
        <w:drawing>
          <wp:inline distT="0" distB="0" distL="0" distR="0">
            <wp:extent cx="5274310" cy="2499360"/>
            <wp:effectExtent l="0" t="0" r="139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4.4.</w:t>
      </w:r>
      <w:r>
        <w:rPr>
          <w:rFonts w:hint="eastAsia"/>
        </w:rPr>
        <w:t>3：审核不通过驳回</w:t>
      </w:r>
    </w:p>
    <w:p/>
    <w:p/>
    <w:p/>
    <w:p/>
    <w:p/>
    <w:p/>
    <w:p/>
    <w:p/>
    <w:p/>
    <w:p/>
    <w:p/>
    <w:p>
      <w:pPr>
        <w:jc w:val="center"/>
      </w:pPr>
      <w:r>
        <w:rPr>
          <w:rFonts w:hint="eastAsia"/>
          <w:color w:val="FF0000"/>
          <w:sz w:val="32"/>
          <w:szCs w:val="32"/>
          <w:highlight w:val="none"/>
          <w:lang w:val="en-US" w:eastAsia="zh-CN"/>
        </w:rPr>
        <w:t>后续流程待研究生院更新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等线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等线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8D07BD"/>
    <w:multiLevelType w:val="multilevel"/>
    <w:tmpl w:val="1C8D07BD"/>
    <w:lvl w:ilvl="0" w:tentative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abstractNum w:abstractNumId="1">
    <w:nsid w:val="2913062D"/>
    <w:multiLevelType w:val="multilevel"/>
    <w:tmpl w:val="2913062D"/>
    <w:lvl w:ilvl="0" w:tentative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38671A5D"/>
    <w:multiLevelType w:val="singleLevel"/>
    <w:tmpl w:val="38671A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7EA77D8"/>
    <w:multiLevelType w:val="multilevel"/>
    <w:tmpl w:val="57EA77D8"/>
    <w:lvl w:ilvl="0" w:tentative="0">
      <w:start w:val="1"/>
      <w:numFmt w:val="decimal"/>
      <w:lvlText w:val="%1."/>
      <w:lvlJc w:val="left"/>
      <w:pPr>
        <w:ind w:left="9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5" w:hanging="420"/>
      </w:pPr>
    </w:lvl>
    <w:lvl w:ilvl="2" w:tentative="0">
      <w:start w:val="1"/>
      <w:numFmt w:val="lowerRoman"/>
      <w:lvlText w:val="%3."/>
      <w:lvlJc w:val="right"/>
      <w:pPr>
        <w:ind w:left="1895" w:hanging="420"/>
      </w:pPr>
    </w:lvl>
    <w:lvl w:ilvl="3" w:tentative="0">
      <w:start w:val="1"/>
      <w:numFmt w:val="decimal"/>
      <w:lvlText w:val="%4."/>
      <w:lvlJc w:val="left"/>
      <w:pPr>
        <w:ind w:left="2315" w:hanging="420"/>
      </w:pPr>
    </w:lvl>
    <w:lvl w:ilvl="4" w:tentative="0">
      <w:start w:val="1"/>
      <w:numFmt w:val="lowerLetter"/>
      <w:lvlText w:val="%5)"/>
      <w:lvlJc w:val="left"/>
      <w:pPr>
        <w:ind w:left="2735" w:hanging="420"/>
      </w:pPr>
    </w:lvl>
    <w:lvl w:ilvl="5" w:tentative="0">
      <w:start w:val="1"/>
      <w:numFmt w:val="lowerRoman"/>
      <w:lvlText w:val="%6."/>
      <w:lvlJc w:val="right"/>
      <w:pPr>
        <w:ind w:left="3155" w:hanging="420"/>
      </w:pPr>
    </w:lvl>
    <w:lvl w:ilvl="6" w:tentative="0">
      <w:start w:val="1"/>
      <w:numFmt w:val="decimal"/>
      <w:lvlText w:val="%7."/>
      <w:lvlJc w:val="left"/>
      <w:pPr>
        <w:ind w:left="3575" w:hanging="420"/>
      </w:pPr>
    </w:lvl>
    <w:lvl w:ilvl="7" w:tentative="0">
      <w:start w:val="1"/>
      <w:numFmt w:val="lowerLetter"/>
      <w:lvlText w:val="%8)"/>
      <w:lvlJc w:val="left"/>
      <w:pPr>
        <w:ind w:left="3995" w:hanging="420"/>
      </w:pPr>
    </w:lvl>
    <w:lvl w:ilvl="8" w:tentative="0">
      <w:start w:val="1"/>
      <w:numFmt w:val="lowerRoman"/>
      <w:lvlText w:val="%9."/>
      <w:lvlJc w:val="right"/>
      <w:pPr>
        <w:ind w:left="4415" w:hanging="420"/>
      </w:pPr>
    </w:lvl>
  </w:abstractNum>
  <w:abstractNum w:abstractNumId="4">
    <w:nsid w:val="68DB6C78"/>
    <w:multiLevelType w:val="multilevel"/>
    <w:tmpl w:val="68DB6C78"/>
    <w:lvl w:ilvl="0" w:tentative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abstractNum w:abstractNumId="5">
    <w:nsid w:val="6AE408FE"/>
    <w:multiLevelType w:val="multilevel"/>
    <w:tmpl w:val="6AE408FE"/>
    <w:lvl w:ilvl="0" w:tentative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70" w:hanging="420"/>
      </w:pPr>
    </w:lvl>
    <w:lvl w:ilvl="2" w:tentative="0">
      <w:start w:val="1"/>
      <w:numFmt w:val="lowerRoman"/>
      <w:lvlText w:val="%3."/>
      <w:lvlJc w:val="right"/>
      <w:pPr>
        <w:ind w:left="1890" w:hanging="420"/>
      </w:pPr>
    </w:lvl>
    <w:lvl w:ilvl="3" w:tentative="0">
      <w:start w:val="1"/>
      <w:numFmt w:val="decimal"/>
      <w:lvlText w:val="%4."/>
      <w:lvlJc w:val="left"/>
      <w:pPr>
        <w:ind w:left="2310" w:hanging="420"/>
      </w:pPr>
    </w:lvl>
    <w:lvl w:ilvl="4" w:tentative="0">
      <w:start w:val="1"/>
      <w:numFmt w:val="lowerLetter"/>
      <w:lvlText w:val="%5)"/>
      <w:lvlJc w:val="left"/>
      <w:pPr>
        <w:ind w:left="2730" w:hanging="420"/>
      </w:pPr>
    </w:lvl>
    <w:lvl w:ilvl="5" w:tentative="0">
      <w:start w:val="1"/>
      <w:numFmt w:val="lowerRoman"/>
      <w:lvlText w:val="%6."/>
      <w:lvlJc w:val="right"/>
      <w:pPr>
        <w:ind w:left="3150" w:hanging="420"/>
      </w:pPr>
    </w:lvl>
    <w:lvl w:ilvl="6" w:tentative="0">
      <w:start w:val="1"/>
      <w:numFmt w:val="decimal"/>
      <w:lvlText w:val="%7."/>
      <w:lvlJc w:val="left"/>
      <w:pPr>
        <w:ind w:left="3570" w:hanging="420"/>
      </w:pPr>
    </w:lvl>
    <w:lvl w:ilvl="7" w:tentative="0">
      <w:start w:val="1"/>
      <w:numFmt w:val="lowerLetter"/>
      <w:lvlText w:val="%8)"/>
      <w:lvlJc w:val="left"/>
      <w:pPr>
        <w:ind w:left="3990" w:hanging="420"/>
      </w:pPr>
    </w:lvl>
    <w:lvl w:ilvl="8" w:tentative="0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26B"/>
    <w:rsid w:val="000021A0"/>
    <w:rsid w:val="00062D3B"/>
    <w:rsid w:val="00073078"/>
    <w:rsid w:val="000A767F"/>
    <w:rsid w:val="000D794C"/>
    <w:rsid w:val="000E0E10"/>
    <w:rsid w:val="001D4698"/>
    <w:rsid w:val="001E6892"/>
    <w:rsid w:val="00203849"/>
    <w:rsid w:val="00215A6F"/>
    <w:rsid w:val="003F2B0C"/>
    <w:rsid w:val="00433486"/>
    <w:rsid w:val="00451827"/>
    <w:rsid w:val="0045437E"/>
    <w:rsid w:val="004C526B"/>
    <w:rsid w:val="00507290"/>
    <w:rsid w:val="00555A92"/>
    <w:rsid w:val="00563CE0"/>
    <w:rsid w:val="00582288"/>
    <w:rsid w:val="00693B27"/>
    <w:rsid w:val="00800938"/>
    <w:rsid w:val="00831E6D"/>
    <w:rsid w:val="00853CA4"/>
    <w:rsid w:val="008A076B"/>
    <w:rsid w:val="00995D2F"/>
    <w:rsid w:val="009E184E"/>
    <w:rsid w:val="00A64A4B"/>
    <w:rsid w:val="00C33951"/>
    <w:rsid w:val="00CB7CFA"/>
    <w:rsid w:val="00E00340"/>
    <w:rsid w:val="00E664DF"/>
    <w:rsid w:val="00EE62DD"/>
    <w:rsid w:val="00F6427E"/>
    <w:rsid w:val="00F65A26"/>
    <w:rsid w:val="02F334F0"/>
    <w:rsid w:val="1C2F2BD8"/>
    <w:rsid w:val="1E9A2912"/>
    <w:rsid w:val="1F3F7337"/>
    <w:rsid w:val="23E94D99"/>
    <w:rsid w:val="292811C9"/>
    <w:rsid w:val="2B136332"/>
    <w:rsid w:val="34D7280A"/>
    <w:rsid w:val="39403C0F"/>
    <w:rsid w:val="3F9D1FAB"/>
    <w:rsid w:val="54052C3E"/>
    <w:rsid w:val="58D100A4"/>
    <w:rsid w:val="6B0F466D"/>
    <w:rsid w:val="7564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link w:val="1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customStyle="1" w:styleId="12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1"/>
    <w:link w:val="6"/>
    <w:uiPriority w:val="99"/>
    <w:rPr>
      <w:sz w:val="18"/>
      <w:szCs w:val="18"/>
    </w:rPr>
  </w:style>
  <w:style w:type="character" w:customStyle="1" w:styleId="14">
    <w:name w:val="标题 3 字符"/>
    <w:basedOn w:val="11"/>
    <w:link w:val="3"/>
    <w:uiPriority w:val="9"/>
    <w:rPr>
      <w:rFonts w:ascii="等线" w:hAnsi="等线" w:eastAsia="等线" w:cs="Times New Roman"/>
      <w:b/>
      <w:bCs/>
      <w:sz w:val="32"/>
      <w:szCs w:val="32"/>
    </w:rPr>
  </w:style>
  <w:style w:type="character" w:customStyle="1" w:styleId="15">
    <w:name w:val="标题 4 字符"/>
    <w:basedOn w:val="11"/>
    <w:link w:val="4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WPSOffice手动目录 2"/>
    <w:uiPriority w:val="0"/>
    <w:pPr>
      <w:ind w:leftChars="200"/>
    </w:pPr>
    <w:rPr>
      <w:rFonts w:ascii="等线" w:hAnsi="等线" w:eastAsia="等线" w:cs="Times New Roman"/>
      <w:sz w:val="20"/>
      <w:szCs w:val="20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等线" w:hAnsi="等线" w:eastAsia="等线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226</Words>
  <Characters>1290</Characters>
  <Lines>10</Lines>
  <Paragraphs>3</Paragraphs>
  <TotalTime>1</TotalTime>
  <ScaleCrop>false</ScaleCrop>
  <LinksUpToDate>false</LinksUpToDate>
  <CharactersWithSpaces>1513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2021-01-10T10:04:00Z</dcterms:created>
  <dc:creator>时 劭伟</dc:creator>
  <cp:lastModifiedBy>1</cp:lastModifiedBy>
  <dcterms:modified xsi:type="dcterms:W3CDTF">2021-03-29T04:00:31Z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F837618D62354CC6B81442E40B1EF916</vt:lpwstr>
  </property>
</Properties>
</file>