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8"/>
          <w:szCs w:val="48"/>
        </w:rPr>
      </w:pPr>
      <w:r>
        <w:rPr>
          <w:rFonts w:hint="eastAsia" w:ascii="宋体" w:hAnsi="宋体" w:eastAsia="宋体"/>
          <w:sz w:val="48"/>
          <w:szCs w:val="48"/>
        </w:rPr>
        <w:t>河海大学</w:t>
      </w:r>
      <w:r>
        <w:rPr>
          <w:rFonts w:ascii="宋体" w:hAnsi="宋体" w:eastAsia="宋体"/>
          <w:sz w:val="48"/>
          <w:szCs w:val="48"/>
        </w:rPr>
        <w:t>研究生</w:t>
      </w:r>
      <w:r>
        <w:rPr>
          <w:rFonts w:hint="eastAsia" w:ascii="宋体" w:hAnsi="宋体" w:eastAsia="宋体"/>
          <w:sz w:val="48"/>
          <w:szCs w:val="48"/>
        </w:rPr>
        <w:t>教育教学管理系统</w:t>
      </w:r>
    </w:p>
    <w:p>
      <w:pPr>
        <w:jc w:val="center"/>
        <w:rPr>
          <w:rFonts w:ascii="宋体" w:hAnsi="宋体" w:eastAsia="宋体"/>
          <w:sz w:val="48"/>
          <w:szCs w:val="48"/>
        </w:rPr>
      </w:pPr>
      <w:r>
        <w:rPr>
          <w:rFonts w:ascii="宋体" w:hAnsi="宋体" w:eastAsia="宋体"/>
          <w:sz w:val="48"/>
          <w:szCs w:val="48"/>
        </w:rPr>
        <w:t>学生端</w:t>
      </w:r>
      <w:r>
        <w:rPr>
          <w:rFonts w:hint="eastAsia" w:ascii="宋体" w:hAnsi="宋体" w:eastAsia="宋体"/>
          <w:sz w:val="48"/>
          <w:szCs w:val="48"/>
        </w:rPr>
        <w:t>（博士 硕士）</w:t>
      </w:r>
    </w:p>
    <w:p>
      <w:pPr>
        <w:jc w:val="center"/>
        <w:rPr>
          <w:rFonts w:ascii="宋体" w:hAnsi="宋体" w:eastAsia="宋体"/>
          <w:sz w:val="48"/>
          <w:szCs w:val="48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版本：G</w:t>
      </w:r>
      <w:r>
        <w:rPr>
          <w:rFonts w:ascii="宋体" w:hAnsi="宋体" w:eastAsia="宋体"/>
          <w:sz w:val="44"/>
          <w:szCs w:val="44"/>
        </w:rPr>
        <w:t>MIS</w:t>
      </w:r>
      <w:r>
        <w:rPr>
          <w:rFonts w:hint="eastAsia" w:ascii="宋体" w:hAnsi="宋体" w:eastAsia="宋体"/>
          <w:sz w:val="44"/>
          <w:szCs w:val="44"/>
        </w:rPr>
        <w:t>5.0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操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作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手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册</w:t>
      </w: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ind w:firstLine="600" w:firstLineChars="200"/>
        <w:jc w:val="center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南京南软科技有限公司</w:t>
      </w:r>
    </w:p>
    <w:p>
      <w:pPr>
        <w:spacing w:line="360" w:lineRule="auto"/>
        <w:ind w:firstLine="600" w:firstLineChars="200"/>
        <w:jc w:val="center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 xml:space="preserve"> 202</w:t>
      </w: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年</w:t>
      </w:r>
      <w:r>
        <w:rPr>
          <w:rFonts w:hint="eastAsia" w:ascii="宋体" w:hAnsi="宋体" w:eastAsia="宋体"/>
          <w:sz w:val="30"/>
          <w:szCs w:val="30"/>
        </w:rPr>
        <w:t>01</w:t>
      </w:r>
      <w:r>
        <w:rPr>
          <w:rFonts w:ascii="宋体" w:hAnsi="宋体" w:eastAsia="宋体"/>
          <w:sz w:val="30"/>
          <w:szCs w:val="30"/>
        </w:rPr>
        <w:t>月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t xml:space="preserve">地址：雨花客厅3幢8层803 </w:t>
      </w:r>
    </w:p>
    <w:p/>
    <w:p>
      <w:pPr>
        <w:widowControl/>
        <w:jc w:val="left"/>
      </w:pPr>
      <w: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7018"/>
        <w15:color w:val="DBDBDB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</w:t>
          </w:r>
          <w:r>
            <w:rPr>
              <w:rFonts w:hint="eastAsia" w:ascii="宋体" w:hAnsi="宋体" w:eastAsia="宋体"/>
              <w:sz w:val="21"/>
              <w:lang w:val="en-US" w:eastAsia="zh-CN"/>
            </w:rPr>
            <w:t xml:space="preserve"> </w:t>
          </w:r>
          <w:r>
            <w:rPr>
              <w:rFonts w:ascii="宋体" w:hAnsi="宋体" w:eastAsia="宋体"/>
              <w:sz w:val="21"/>
            </w:rPr>
            <w:t>录</w:t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cs="宋体"/>
              <w:szCs w:val="24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_Toc21874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  <w:lang w:val="en-US" w:eastAsia="zh-CN"/>
            </w:rPr>
            <w:t>一、</w:t>
          </w:r>
          <w:r>
            <w:rPr>
              <w:rFonts w:hint="eastAsia" w:cs="宋体"/>
              <w:szCs w:val="24"/>
            </w:rPr>
            <w:t>用户登录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_Toc21874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1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_Toc17612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二、培养管理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_Toc17612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2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_Toc24991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2.1．论文开题申请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_Toc24991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2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_Toc13104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三、科研管理</w:t>
          </w:r>
          <w:r>
            <w:rPr>
              <w:rFonts w:hint="eastAsia" w:cs="宋体"/>
              <w:szCs w:val="24"/>
              <w:lang w:eastAsia="zh-CN"/>
            </w:rPr>
            <w:t>（</w:t>
          </w:r>
          <w:r>
            <w:rPr>
              <w:rFonts w:hint="eastAsia" w:cs="宋体"/>
              <w:szCs w:val="24"/>
              <w:lang w:val="en-US" w:eastAsia="zh-CN"/>
            </w:rPr>
            <w:t>专硕没有可不填</w:t>
          </w:r>
          <w:r>
            <w:rPr>
              <w:rFonts w:hint="eastAsia" w:cs="宋体"/>
              <w:szCs w:val="24"/>
              <w:lang w:eastAsia="zh-CN"/>
            </w:rPr>
            <w:t>）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_Toc13104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3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_Toc19539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3.1．发表论文登记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_Toc19539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3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_Toc1433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四、毕业与学位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_Toc1433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5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_Toc298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4.1．论文中期检查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_Toc298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5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_Toc14330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4.2．论文预审申请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_Toc14330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7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_Toc30704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4.3．预答辩申请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_Toc30704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8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_Toc10254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4.4．个人简况表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_Toc10254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9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_Toc12326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  <w:lang w:val="en-US" w:eastAsia="zh-CN"/>
            </w:rPr>
            <w:t xml:space="preserve">4.5.  </w:t>
          </w:r>
          <w:r>
            <w:rPr>
              <w:rFonts w:hint="eastAsia" w:cs="宋体"/>
              <w:szCs w:val="24"/>
            </w:rPr>
            <w:t>论文评阅管理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_Toc12326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10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widowControl/>
            <w:jc w:val="left"/>
            <w:rPr>
              <w:rFonts w:ascii="等线" w:hAnsi="等线" w:eastAsia="等线" w:cs="Times New Roman"/>
              <w:kern w:val="2"/>
              <w:sz w:val="21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widowControl/>
        <w:jc w:val="left"/>
        <w:rPr>
          <w:rFonts w:hint="default" w:ascii="等线" w:hAnsi="等线" w:eastAsia="等线" w:cs="Times New Roman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color w:val="FF0000"/>
          <w:kern w:val="2"/>
          <w:sz w:val="28"/>
          <w:szCs w:val="28"/>
          <w:lang w:val="en-US" w:eastAsia="zh-CN" w:bidi="ar-SA"/>
        </w:rPr>
        <w:t>校园外网的同学建议使用VPN账号(https://hhic.hhu.edu.cn/2020/0804/c13494a208805/page.htm)</w:t>
      </w:r>
      <w:bookmarkStart w:id="13" w:name="_GoBack"/>
      <w:bookmarkEnd w:id="13"/>
    </w:p>
    <w:p>
      <w:pPr>
        <w:pStyle w:val="3"/>
      </w:pPr>
      <w:r>
        <w:rPr>
          <w:rFonts w:hint="eastAsia"/>
        </w:rPr>
        <w:t>前言</w:t>
      </w:r>
    </w:p>
    <w:p>
      <w:pPr>
        <w:widowControl/>
        <w:ind w:firstLine="420" w:firstLineChars="200"/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研究生申请学位论文开题、预审、中期检查、博士学位论文盲评到归档结束各环节均须登录【研究生教育教学管理系统】进行。所有申请学位研究生均须按要求填写相关信息，提交申请，查询进展。</w:t>
      </w:r>
    </w:p>
    <w:p>
      <w:pPr>
        <w:pStyle w:val="2"/>
        <w:outlineLvl w:val="0"/>
      </w:pPr>
      <w:bookmarkStart w:id="0" w:name="_Toc51169625"/>
      <w:bookmarkStart w:id="1" w:name="_Toc21874"/>
      <w:r>
        <w:rPr>
          <w:rFonts w:hint="eastAsia"/>
          <w:lang w:val="en-US" w:eastAsia="zh-CN"/>
        </w:rPr>
        <w:t>一、</w:t>
      </w:r>
      <w:r>
        <w:rPr>
          <w:rFonts w:hint="eastAsia"/>
        </w:rPr>
        <w:t>用户登录</w:t>
      </w:r>
      <w:bookmarkEnd w:id="0"/>
      <w:bookmarkEnd w:id="1"/>
    </w:p>
    <w:p>
      <w:pPr>
        <w:spacing w:line="360" w:lineRule="auto"/>
        <w:ind w:firstLine="420" w:firstLineChars="200"/>
      </w:pPr>
      <w:r>
        <w:rPr>
          <w:rFonts w:hint="eastAsia"/>
        </w:rPr>
        <w:t>功能说明：学生登录研究生管理系统。</w:t>
      </w:r>
    </w:p>
    <w:p>
      <w:pPr>
        <w:spacing w:line="360" w:lineRule="auto"/>
        <w:ind w:firstLine="420" w:firstLineChars="200"/>
      </w:pPr>
      <w:r>
        <w:rPr>
          <w:color w:val="FF0000"/>
          <w:szCs w:val="21"/>
          <w:shd w:val="clear" w:color="auto" w:fill="F4F4F4"/>
        </w:rPr>
        <w:t xml:space="preserve">说明：1.使用chrome或IE10+浏览器（360浏览器版本8.1以上） 2.1280*800分辨率以上浏览本系统 3.请不要屏蔽弹出窗口 </w:t>
      </w:r>
      <w:r>
        <w:rPr>
          <w:color w:val="666666"/>
          <w:szCs w:val="21"/>
          <w:shd w:val="clear" w:color="auto" w:fill="F4F4F4"/>
        </w:rPr>
        <w:t xml:space="preserve"> 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操作说明：输入</w:t>
      </w:r>
      <w:r>
        <w:t xml:space="preserve"> </w:t>
      </w:r>
      <w:r>
        <w:rPr>
          <w:rFonts w:hint="eastAsia"/>
        </w:rPr>
        <w:t>【http://yjss.hhu.edu.cn/home/stulogin】或者</w:t>
      </w: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282956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：登陆界面</w:t>
      </w:r>
    </w:p>
    <w:p>
      <w:pPr>
        <w:widowControl/>
        <w:ind w:firstLine="420" w:firstLineChars="200"/>
        <w:jc w:val="left"/>
        <w:rPr>
          <w:rFonts w:hint="eastAsia" w:ascii="宋体" w:hAnsi="宋体" w:eastAsia="宋体"/>
          <w:szCs w:val="21"/>
        </w:rPr>
      </w:pPr>
    </w:p>
    <w:p>
      <w:pPr>
        <w:pStyle w:val="3"/>
        <w:outlineLvl w:val="0"/>
      </w:pPr>
      <w:bookmarkStart w:id="2" w:name="_Toc52124205"/>
      <w:bookmarkStart w:id="3" w:name="_Toc17612"/>
      <w:r>
        <w:rPr>
          <w:rFonts w:hint="eastAsia"/>
        </w:rPr>
        <w:t>二、</w:t>
      </w:r>
      <w:bookmarkEnd w:id="2"/>
      <w:r>
        <w:rPr>
          <w:rFonts w:hint="eastAsia"/>
        </w:rPr>
        <w:t>培养管理</w:t>
      </w:r>
      <w:bookmarkEnd w:id="3"/>
    </w:p>
    <w:p>
      <w:pPr>
        <w:pStyle w:val="4"/>
        <w:outlineLvl w:val="1"/>
        <w:rPr>
          <w:rFonts w:hint="eastAsia"/>
        </w:rPr>
      </w:pPr>
      <w:bookmarkStart w:id="4" w:name="_Toc24991"/>
      <w:r>
        <w:rPr>
          <w:rFonts w:hint="eastAsia"/>
        </w:rPr>
        <w:t>2.1．论文开题申请</w:t>
      </w:r>
      <w:bookmarkEnd w:id="4"/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功能说明：填报开题报告，上传附件材料。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进入论文开题页面 如图2.1.1，填写相应论文开题信息（其中必填项务必按要求填写，否则无法保存提交）。若论文涉密，请勾选是否涉密，并且点击【选择文件】按钮上传保密审批表。基础信息填写完毕，点击【保存】按钮，保存相关信息。确认无误，点击【提交】按钮，提交开题报告信息 如图2.1.2。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提交后等待 导师审核→院系分管领导审核，最终结果返回 如图2.1.3。</w:t>
      </w:r>
    </w:p>
    <w:p>
      <w:pPr>
        <w:spacing w:line="360" w:lineRule="auto"/>
      </w:pPr>
      <w:r>
        <w:drawing>
          <wp:inline distT="0" distB="0" distL="0" distR="0">
            <wp:extent cx="5274310" cy="25571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图2.1.1：开题报告填报</w:t>
      </w:r>
    </w:p>
    <w:p>
      <w:r>
        <w:drawing>
          <wp:inline distT="0" distB="0" distL="0" distR="0">
            <wp:extent cx="5274310" cy="24917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图2.1.2</w:t>
      </w:r>
      <w:r>
        <w:t xml:space="preserve"> </w:t>
      </w:r>
      <w:r>
        <w:rPr>
          <w:rFonts w:hint="eastAsia"/>
        </w:rPr>
        <w:t>提交</w:t>
      </w:r>
    </w:p>
    <w:p>
      <w:r>
        <w:drawing>
          <wp:inline distT="0" distB="0" distL="0" distR="0">
            <wp:extent cx="5274310" cy="25761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图2.1.3</w:t>
      </w:r>
      <w:r>
        <w:t xml:space="preserve"> </w:t>
      </w:r>
      <w:r>
        <w:rPr>
          <w:rFonts w:hint="eastAsia"/>
        </w:rPr>
        <w:t>结果返回</w:t>
      </w:r>
    </w:p>
    <w:p>
      <w:pPr>
        <w:pStyle w:val="3"/>
        <w:outlineLvl w:val="0"/>
        <w:rPr>
          <w:rFonts w:hint="eastAsia" w:eastAsia="等线"/>
          <w:lang w:eastAsia="zh-CN"/>
        </w:rPr>
      </w:pPr>
      <w:bookmarkStart w:id="5" w:name="_Toc13104"/>
      <w:r>
        <w:rPr>
          <w:rFonts w:hint="eastAsia"/>
        </w:rPr>
        <w:t>三、科研管理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  <w:bookmarkEnd w:id="5"/>
    </w:p>
    <w:p>
      <w:pPr>
        <w:pStyle w:val="4"/>
        <w:outlineLvl w:val="1"/>
        <w:rPr>
          <w:rFonts w:hint="eastAsia"/>
        </w:rPr>
      </w:pPr>
      <w:bookmarkStart w:id="6" w:name="_Toc19539"/>
      <w:r>
        <w:rPr>
          <w:rFonts w:hint="eastAsia"/>
        </w:rPr>
        <w:t>3.1．发表论文登记</w:t>
      </w:r>
      <w:bookmarkEnd w:id="6"/>
      <w:r>
        <w:rPr>
          <w:rFonts w:hint="eastAsia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功能说明：登记发表学术论文（小论文）信息。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进入发表论文登记页面 如图3.1.1，点击【新增】按钮，填写发表论文相关内容（其中必填项务必按要求填写，否则无法保存提交） 如图3.1.2。点击【选择文件】按钮，选择小论文证明附件，上传后点击【保存】按钮（一旦审核不可编辑修改）。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等待 导师审核→院系审核→（博士）学位办审核。审核完成后如图3.1.3，此时该学术论文即可用作后期中期检查的材料。审核流程未完成的学术论文是无效数据。</w:t>
      </w:r>
    </w:p>
    <w:p>
      <w:pPr>
        <w:spacing w:line="360" w:lineRule="auto"/>
      </w:pPr>
      <w:r>
        <w:drawing>
          <wp:inline distT="0" distB="0" distL="0" distR="0">
            <wp:extent cx="5274310" cy="20980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</w:rPr>
        <w:t>图3.1.1</w:t>
      </w:r>
      <w:r>
        <w:t xml:space="preserve"> </w:t>
      </w:r>
      <w:r>
        <w:rPr>
          <w:rFonts w:hint="eastAsia"/>
        </w:rPr>
        <w:t>论文成果</w:t>
      </w:r>
    </w:p>
    <w:p>
      <w:r>
        <w:drawing>
          <wp:inline distT="0" distB="0" distL="0" distR="0">
            <wp:extent cx="5274310" cy="27273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图3.1.2</w:t>
      </w:r>
      <w:r>
        <w:t xml:space="preserve"> </w:t>
      </w:r>
      <w:r>
        <w:rPr>
          <w:rFonts w:hint="eastAsia"/>
        </w:rPr>
        <w:t>登记信息</w:t>
      </w:r>
    </w:p>
    <w:p>
      <w:r>
        <w:drawing>
          <wp:inline distT="0" distB="0" distL="0" distR="0">
            <wp:extent cx="5274310" cy="20758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图3.1.3</w:t>
      </w:r>
      <w:r>
        <w:t xml:space="preserve"> </w:t>
      </w:r>
      <w:r>
        <w:rPr>
          <w:rFonts w:hint="eastAsia"/>
        </w:rPr>
        <w:t>审核结果</w:t>
      </w:r>
    </w:p>
    <w:p>
      <w:pPr>
        <w:pStyle w:val="3"/>
        <w:outlineLvl w:val="0"/>
      </w:pPr>
      <w:bookmarkStart w:id="7" w:name="_Toc1433"/>
      <w:r>
        <w:rPr>
          <w:rFonts w:hint="eastAsia"/>
        </w:rPr>
        <w:t>四、毕业与学位</w:t>
      </w:r>
      <w:bookmarkEnd w:id="7"/>
    </w:p>
    <w:p>
      <w:pPr>
        <w:pStyle w:val="4"/>
        <w:outlineLvl w:val="1"/>
      </w:pPr>
      <w:bookmarkStart w:id="8" w:name="_Toc298"/>
      <w:r>
        <w:rPr>
          <w:rFonts w:hint="eastAsia"/>
        </w:rPr>
        <w:t>4.1．论文中期检查</w:t>
      </w:r>
      <w:bookmarkEnd w:id="8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功能说明：填报论文中期检查，登记论文写作情况以及发表论文情况。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进入论文中期页面 如图4.1.1，填写相应信息。点击【保存】按钮，保存相应信息。</w:t>
      </w:r>
    </w:p>
    <w:p>
      <w:pPr>
        <w:pStyle w:val="15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点击已发表论文【选择】按钮，如图4.1.2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勾选适用申请学位的学术论文（小论文），点击【批量选择】按钮，选择到中期检查中（注：此处只查询审核通过，第一署名：</w:t>
      </w:r>
      <w:r>
        <w:rPr>
          <w:rFonts w:ascii="宋体" w:hAnsi="宋体" w:eastAsia="宋体"/>
          <w:szCs w:val="21"/>
        </w:rPr>
        <w:t>河海大学</w:t>
      </w:r>
      <w:r>
        <w:rPr>
          <w:rFonts w:hint="eastAsia" w:ascii="宋体" w:hAnsi="宋体" w:eastAsia="宋体"/>
          <w:szCs w:val="21"/>
        </w:rPr>
        <w:t xml:space="preserve"> ；第一署名：</w:t>
      </w:r>
      <w:r>
        <w:rPr>
          <w:rFonts w:ascii="宋体" w:hAnsi="宋体" w:eastAsia="宋体"/>
          <w:szCs w:val="21"/>
        </w:rPr>
        <w:t>中国水利水电科学研究院</w:t>
      </w:r>
      <w:r>
        <w:rPr>
          <w:rFonts w:hint="eastAsia" w:ascii="宋体" w:hAnsi="宋体" w:eastAsia="宋体"/>
          <w:szCs w:val="21"/>
        </w:rPr>
        <w:t>/</w:t>
      </w:r>
      <w:r>
        <w:rPr>
          <w:rFonts w:ascii="宋体" w:hAnsi="宋体" w:eastAsia="宋体"/>
          <w:szCs w:val="21"/>
        </w:rPr>
        <w:t>南京水利科学研究院</w:t>
      </w:r>
      <w:r>
        <w:rPr>
          <w:rFonts w:hint="eastAsia" w:ascii="宋体" w:hAnsi="宋体" w:eastAsia="宋体"/>
          <w:szCs w:val="21"/>
        </w:rPr>
        <w:t>【仅限有河海学籍的联合培养研究生】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；导师第一作者学生，第二作者的论文）</w:t>
      </w:r>
    </w:p>
    <w:p>
      <w:pPr>
        <w:pStyle w:val="15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完成填报后，点击【提交】按钮，提交申请。等待导师审核→分管领导审核。</w:t>
      </w:r>
    </w:p>
    <w:p>
      <w:r>
        <w:drawing>
          <wp:inline distT="0" distB="0" distL="0" distR="0">
            <wp:extent cx="5274310" cy="24701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图4.1.1</w:t>
      </w:r>
      <w:r>
        <w:t xml:space="preserve"> </w:t>
      </w:r>
      <w:r>
        <w:rPr>
          <w:rFonts w:hint="eastAsia"/>
        </w:rPr>
        <w:t>中期检查</w:t>
      </w:r>
    </w:p>
    <w:p>
      <w:r>
        <w:drawing>
          <wp:inline distT="0" distB="0" distL="0" distR="0">
            <wp:extent cx="5274310" cy="2616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图4.1.2</w:t>
      </w:r>
      <w:r>
        <w:t xml:space="preserve"> </w:t>
      </w:r>
      <w:r>
        <w:rPr>
          <w:rFonts w:hint="eastAsia"/>
        </w:rPr>
        <w:t>发表论文</w:t>
      </w:r>
    </w:p>
    <w:p>
      <w:r>
        <w:drawing>
          <wp:inline distT="0" distB="0" distL="0" distR="0">
            <wp:extent cx="5274310" cy="25171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图4.1.3</w:t>
      </w:r>
      <w:r>
        <w:t xml:space="preserve"> </w:t>
      </w:r>
      <w:r>
        <w:rPr>
          <w:rFonts w:hint="eastAsia"/>
        </w:rPr>
        <w:t>提交</w:t>
      </w:r>
    </w:p>
    <w:p>
      <w:r>
        <w:drawing>
          <wp:inline distT="0" distB="0" distL="0" distR="0">
            <wp:extent cx="5274310" cy="2495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图4.1.4</w:t>
      </w:r>
      <w:r>
        <w:t xml:space="preserve"> </w:t>
      </w:r>
      <w:r>
        <w:rPr>
          <w:rFonts w:hint="eastAsia"/>
        </w:rPr>
        <w:t>结果</w:t>
      </w:r>
    </w:p>
    <w:p>
      <w:pPr>
        <w:pStyle w:val="4"/>
        <w:outlineLvl w:val="1"/>
      </w:pPr>
      <w:bookmarkStart w:id="9" w:name="_Toc14330"/>
      <w:r>
        <w:rPr>
          <w:rFonts w:hint="eastAsia"/>
        </w:rPr>
        <w:t>4.2．论文预审申请</w:t>
      </w:r>
      <w:bookmarkEnd w:id="9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功能说明：上传预审论文，查看预审意见。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进入论文预审申请页面 如图4.2.1，填写相应信息。点击【选择文件】按钮，选择预审论文。</w:t>
      </w:r>
    </w:p>
    <w:p>
      <w:pPr>
        <w:pStyle w:val="15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保存后，点击【提交】按钮，提交申请。等待导师审核，反馈结果后，查看相应修改意见 如图4.2.2。</w:t>
      </w:r>
    </w:p>
    <w:p>
      <w:r>
        <w:drawing>
          <wp:inline distT="0" distB="0" distL="0" distR="0">
            <wp:extent cx="5274310" cy="25781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图4.2.1</w:t>
      </w:r>
      <w:r>
        <w:t xml:space="preserve"> </w:t>
      </w:r>
      <w:r>
        <w:rPr>
          <w:rFonts w:hint="eastAsia"/>
        </w:rPr>
        <w:t>预审申请</w:t>
      </w:r>
    </w:p>
    <w:p>
      <w:r>
        <w:drawing>
          <wp:inline distT="0" distB="0" distL="0" distR="0">
            <wp:extent cx="5274310" cy="2559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图4.2.2 意见</w:t>
      </w:r>
    </w:p>
    <w:p>
      <w:pPr>
        <w:pStyle w:val="4"/>
        <w:outlineLvl w:val="1"/>
      </w:pPr>
      <w:bookmarkStart w:id="10" w:name="_Toc30704"/>
      <w:r>
        <w:rPr>
          <w:rFonts w:hint="eastAsia"/>
        </w:rPr>
        <w:t>4.3．预答辩申请</w:t>
      </w:r>
      <w:bookmarkEnd w:id="10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功能说明：登记预答辩参会人员以及预答辩内容。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</w:pPr>
      <w:r>
        <w:rPr>
          <w:rFonts w:hint="eastAsia" w:ascii="宋体" w:hAnsi="宋体" w:eastAsia="宋体"/>
          <w:szCs w:val="21"/>
        </w:rPr>
        <w:t>进入论文预答辩登记页面 如图4.3.1，填写相应信息。点击【新增】按钮，填写参会人员信息 如图4.3.2。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保存后，点击【提交】按钮，提交登记信息。等待院系领导审核如图4.3.3。</w:t>
      </w:r>
    </w:p>
    <w:p>
      <w:r>
        <w:drawing>
          <wp:inline distT="0" distB="0" distL="0" distR="0">
            <wp:extent cx="5274310" cy="25698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图4.3.1</w:t>
      </w:r>
      <w:r>
        <w:t xml:space="preserve"> </w:t>
      </w:r>
      <w:r>
        <w:rPr>
          <w:rFonts w:hint="eastAsia"/>
        </w:rPr>
        <w:t>预答辩登记</w:t>
      </w:r>
    </w:p>
    <w:p>
      <w:r>
        <w:drawing>
          <wp:inline distT="0" distB="0" distL="0" distR="0">
            <wp:extent cx="5274310" cy="25869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图4.3.2</w:t>
      </w:r>
      <w:r>
        <w:t xml:space="preserve"> </w:t>
      </w:r>
      <w:r>
        <w:rPr>
          <w:rFonts w:hint="eastAsia"/>
        </w:rPr>
        <w:t>添加人员</w:t>
      </w:r>
    </w:p>
    <w:p>
      <w:r>
        <w:drawing>
          <wp:inline distT="0" distB="0" distL="0" distR="0">
            <wp:extent cx="5274310" cy="25749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图4.3.3</w:t>
      </w:r>
      <w:r>
        <w:t xml:space="preserve"> </w:t>
      </w:r>
      <w:r>
        <w:rPr>
          <w:rFonts w:hint="eastAsia"/>
        </w:rPr>
        <w:t>结果</w:t>
      </w:r>
    </w:p>
    <w:p>
      <w:pPr>
        <w:pStyle w:val="4"/>
        <w:outlineLvl w:val="1"/>
      </w:pPr>
      <w:bookmarkStart w:id="11" w:name="_Toc10254"/>
      <w:r>
        <w:rPr>
          <w:rFonts w:hint="eastAsia"/>
        </w:rPr>
        <w:t>4.4．个人简况表</w:t>
      </w:r>
      <w:bookmarkEnd w:id="11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功能说明：维护个人简况信息。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6"/>
        </w:numPr>
        <w:spacing w:line="360" w:lineRule="auto"/>
        <w:ind w:firstLineChars="0"/>
      </w:pPr>
      <w:r>
        <w:rPr>
          <w:rFonts w:hint="eastAsia" w:ascii="宋体" w:hAnsi="宋体" w:eastAsia="宋体"/>
          <w:szCs w:val="21"/>
        </w:rPr>
        <w:t>进入个人简况维护页面 如图4.4.1，填写相应信息。点击【保存】按钮，保存信息。</w:t>
      </w:r>
    </w:p>
    <w:p>
      <w:r>
        <w:drawing>
          <wp:inline distT="0" distB="0" distL="0" distR="0">
            <wp:extent cx="5274310" cy="26206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图4.4.1</w:t>
      </w:r>
      <w:r>
        <w:t xml:space="preserve"> </w:t>
      </w:r>
      <w:r>
        <w:rPr>
          <w:rFonts w:hint="eastAsia"/>
        </w:rPr>
        <w:t>个人简况维护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pStyle w:val="4"/>
        <w:outlineLvl w:val="1"/>
        <w:rPr>
          <w:rFonts w:hint="eastAsia"/>
        </w:rPr>
      </w:pPr>
      <w:bookmarkStart w:id="12" w:name="_Toc12326"/>
      <w:r>
        <w:rPr>
          <w:rFonts w:hint="eastAsia"/>
          <w:lang w:val="en-US" w:eastAsia="zh-CN"/>
        </w:rPr>
        <w:t xml:space="preserve">4.5.  </w:t>
      </w:r>
      <w:r>
        <w:rPr>
          <w:rFonts w:hint="eastAsia"/>
        </w:rPr>
        <w:t>论文评阅管理</w:t>
      </w:r>
      <w:bookmarkEnd w:id="12"/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功能说明：用于学生填报论文评阅信息，上传查重，送审论文。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5"/>
        <w:numPr>
          <w:ilvl w:val="0"/>
          <w:numId w:val="0"/>
        </w:numPr>
        <w:spacing w:line="360" w:lineRule="auto"/>
        <w:ind w:left="709" w:leftChars="0"/>
        <w:rPr>
          <w:rFonts w:hint="default" w:ascii="宋体" w:hAnsi="宋体" w:eastAsia="宋体"/>
          <w:color w:val="FF0000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1.</w:t>
      </w:r>
      <w:r>
        <w:rPr>
          <w:rFonts w:hint="eastAsia" w:ascii="宋体" w:hAnsi="宋体" w:eastAsia="宋体"/>
          <w:szCs w:val="21"/>
        </w:rPr>
        <w:t>进入论文评阅管理页面 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1，填写相应论文信息（其中必填项务必按要求填写，否则无法保存提交）。基础信息填写完毕，如图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2，点击对应的【选择】按钮，选择查重/摘要文件（注：</w:t>
      </w:r>
      <w:r>
        <w:rPr>
          <w:rFonts w:hint="eastAsia" w:ascii="宋体" w:hAnsi="宋体" w:eastAsia="宋体"/>
          <w:color w:val="FF0000"/>
          <w:szCs w:val="21"/>
        </w:rPr>
        <w:t>查重文件为pdf格式，摘要为txt文本格式</w:t>
      </w:r>
      <w:r>
        <w:rPr>
          <w:rFonts w:hint="eastAsia" w:ascii="宋体" w:hAnsi="宋体" w:eastAsia="宋体"/>
          <w:color w:val="FF0000"/>
          <w:szCs w:val="21"/>
          <w:lang w:eastAsia="zh-CN"/>
        </w:rPr>
        <w:t>，</w:t>
      </w:r>
      <w:r>
        <w:rPr>
          <w:rFonts w:hint="eastAsia" w:ascii="宋体" w:hAnsi="宋体" w:eastAsia="宋体"/>
          <w:color w:val="FF0000"/>
          <w:szCs w:val="21"/>
          <w:lang w:val="en-US" w:eastAsia="zh-CN"/>
        </w:rPr>
        <w:t>只需上传中文摘要</w:t>
      </w:r>
      <w:r>
        <w:rPr>
          <w:rFonts w:hint="eastAsia" w:ascii="宋体" w:hAnsi="宋体" w:eastAsia="宋体"/>
          <w:szCs w:val="21"/>
        </w:rPr>
        <w:t>）。选择好相应文件后，点击【保存】按钮，保存填报信息（如需修改上传论文，重新选择文件后保存即可）。点击【提交】按钮，完成查重申请 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3。（等待导师审核→院系审核→查重结果反馈）</w:t>
      </w:r>
      <w:r>
        <w:rPr>
          <w:rFonts w:hint="eastAsia" w:ascii="宋体" w:hAnsi="宋体" w:eastAsia="宋体"/>
          <w:color w:val="FF0000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Cs w:val="21"/>
          <w:lang w:val="en-US" w:eastAsia="zh-CN"/>
        </w:rPr>
        <w:t>先保存后提交</w:t>
      </w:r>
      <w:r>
        <w:rPr>
          <w:rFonts w:hint="eastAsia" w:ascii="宋体" w:hAnsi="宋体" w:eastAsia="宋体"/>
          <w:color w:val="FF0000"/>
          <w:szCs w:val="21"/>
          <w:lang w:eastAsia="zh-CN"/>
        </w:rPr>
        <w:t>）</w:t>
      </w:r>
    </w:p>
    <w:p>
      <w:pPr>
        <w:pStyle w:val="15"/>
        <w:numPr>
          <w:ilvl w:val="0"/>
          <w:numId w:val="0"/>
        </w:numPr>
        <w:spacing w:line="360" w:lineRule="auto"/>
        <w:ind w:left="709" w:left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2.</w:t>
      </w:r>
      <w:r>
        <w:rPr>
          <w:rFonts w:hint="eastAsia" w:ascii="宋体" w:hAnsi="宋体" w:eastAsia="宋体"/>
          <w:szCs w:val="21"/>
        </w:rPr>
        <w:t>若导师/学院审核不通过，驳回后可以重新修改 （如图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可查看驳回原因），保存后再提交（</w:t>
      </w:r>
      <w:r>
        <w:rPr>
          <w:rFonts w:hint="eastAsia" w:ascii="宋体" w:hAnsi="宋体" w:eastAsia="宋体"/>
          <w:color w:val="FF0000"/>
          <w:szCs w:val="21"/>
        </w:rPr>
        <w:t>如需修改上传论文，重新选择文件后保存即可</w:t>
      </w:r>
      <w:r>
        <w:rPr>
          <w:rFonts w:hint="eastAsia" w:ascii="宋体" w:hAnsi="宋体" w:eastAsia="宋体"/>
          <w:szCs w:val="21"/>
        </w:rPr>
        <w:t>）。</w:t>
      </w:r>
    </w:p>
    <w:p>
      <w:pPr>
        <w:pStyle w:val="15"/>
        <w:numPr>
          <w:ilvl w:val="0"/>
          <w:numId w:val="0"/>
        </w:numPr>
        <w:spacing w:line="360" w:lineRule="auto"/>
        <w:ind w:left="709" w:left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3.</w:t>
      </w:r>
      <w:r>
        <w:rPr>
          <w:rFonts w:hint="eastAsia" w:ascii="宋体" w:hAnsi="宋体" w:eastAsia="宋体"/>
          <w:szCs w:val="21"/>
        </w:rPr>
        <w:t>若查重审核通过，查重结果返回到系统。你可以在图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5所示位置，查询本人的查重结果。查重结果</w:t>
      </w:r>
      <w:r>
        <w:rPr>
          <w:rFonts w:hint="eastAsia" w:ascii="宋体" w:hAnsi="宋体" w:eastAsia="宋体"/>
          <w:color w:val="FF0000"/>
          <w:szCs w:val="21"/>
        </w:rPr>
        <w:t>通过</w:t>
      </w:r>
      <w:r>
        <w:rPr>
          <w:rFonts w:hint="eastAsia" w:ascii="宋体" w:hAnsi="宋体" w:eastAsia="宋体"/>
          <w:szCs w:val="21"/>
        </w:rPr>
        <w:t>，即</w:t>
      </w:r>
      <w:r>
        <w:rPr>
          <w:rFonts w:hint="eastAsia" w:ascii="宋体" w:hAnsi="宋体" w:eastAsia="宋体"/>
          <w:color w:val="FF0000"/>
          <w:szCs w:val="21"/>
        </w:rPr>
        <w:t>自动报名抽检</w:t>
      </w:r>
      <w:r>
        <w:rPr>
          <w:rFonts w:hint="eastAsia" w:ascii="宋体" w:hAnsi="宋体" w:eastAsia="宋体"/>
          <w:szCs w:val="21"/>
        </w:rPr>
        <w:t>。此时只需等待学院上报抽检名单，研究生院抽检结果发布，返回抽检结果。</w:t>
      </w:r>
    </w:p>
    <w:p>
      <w:pPr>
        <w:pStyle w:val="15"/>
        <w:numPr>
          <w:ilvl w:val="0"/>
          <w:numId w:val="0"/>
        </w:numPr>
        <w:spacing w:line="360" w:lineRule="auto"/>
        <w:ind w:left="709" w:left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4.</w:t>
      </w:r>
      <w:r>
        <w:rPr>
          <w:rFonts w:hint="eastAsia" w:ascii="宋体" w:hAnsi="宋体" w:eastAsia="宋体"/>
          <w:szCs w:val="21"/>
        </w:rPr>
        <w:t>若查重结果</w:t>
      </w:r>
      <w:r>
        <w:rPr>
          <w:rFonts w:hint="eastAsia" w:ascii="宋体" w:hAnsi="宋体" w:eastAsia="宋体"/>
          <w:color w:val="FF0000"/>
          <w:szCs w:val="21"/>
        </w:rPr>
        <w:t>不通过</w:t>
      </w:r>
      <w:r>
        <w:rPr>
          <w:rFonts w:hint="eastAsia" w:ascii="宋体" w:hAnsi="宋体" w:eastAsia="宋体"/>
          <w:szCs w:val="21"/>
        </w:rPr>
        <w:t>，如图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6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>所示。根据河海大学相关文件规定：</w:t>
      </w:r>
    </w:p>
    <w:p>
      <w:pPr>
        <w:pStyle w:val="15"/>
        <w:numPr>
          <w:ilvl w:val="0"/>
          <w:numId w:val="0"/>
        </w:numPr>
        <w:spacing w:line="360" w:lineRule="auto"/>
        <w:ind w:left="905" w:leftChars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t>学位论文整篇论文的总复制比</w:t>
      </w:r>
      <w:r>
        <w:rPr>
          <w:color w:val="FF0000"/>
        </w:rPr>
        <w:t>小于等于15%</w:t>
      </w:r>
      <w:r>
        <w:t>，可以直接提交申请论文送审、答辩。</w:t>
      </w:r>
    </w:p>
    <w:p>
      <w:pPr>
        <w:pStyle w:val="15"/>
        <w:numPr>
          <w:ilvl w:val="0"/>
          <w:numId w:val="0"/>
        </w:numPr>
        <w:spacing w:line="360" w:lineRule="auto"/>
        <w:ind w:left="905" w:leftChars="0"/>
        <w:rPr>
          <w:rFonts w:ascii="宋体" w:hAnsi="宋体" w:eastAsia="宋体"/>
          <w:szCs w:val="21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t>学位论文整篇论文的总复制比在</w:t>
      </w:r>
      <w:r>
        <w:rPr>
          <w:color w:val="FF0000"/>
        </w:rPr>
        <w:t>15%—30%</w:t>
      </w:r>
      <w:r>
        <w:t>之间，学生认真修改后再提交申请论文送审、答辩。学位论文修改时间</w:t>
      </w:r>
      <w:r>
        <w:rPr>
          <w:color w:val="FF0000"/>
        </w:rPr>
        <w:t>不少于两周</w:t>
      </w:r>
      <w:r>
        <w:t>。</w:t>
      </w:r>
    </w:p>
    <w:p>
      <w:pPr>
        <w:pStyle w:val="15"/>
        <w:numPr>
          <w:ilvl w:val="0"/>
          <w:numId w:val="0"/>
        </w:numPr>
        <w:spacing w:line="360" w:lineRule="auto"/>
        <w:ind w:left="905" w:leftChars="0"/>
        <w:rPr>
          <w:rFonts w:ascii="宋体" w:hAnsi="宋体" w:eastAsia="宋体"/>
          <w:szCs w:val="21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t>学位论文整篇的总复制比在</w:t>
      </w:r>
      <w:r>
        <w:rPr>
          <w:color w:val="FF0000"/>
        </w:rPr>
        <w:t>30%—40%</w:t>
      </w:r>
      <w:r>
        <w:t>之间，学生须对其学位论文进行重大修改。学位论文修改时间</w:t>
      </w:r>
      <w:r>
        <w:rPr>
          <w:color w:val="FF0000"/>
        </w:rPr>
        <w:t>一个月</w:t>
      </w:r>
      <w:r>
        <w:t>。经导师和学院审核后再次提交申请论文送审、答辩。</w:t>
      </w:r>
    </w:p>
    <w:p>
      <w:pPr>
        <w:pStyle w:val="15"/>
        <w:numPr>
          <w:ilvl w:val="0"/>
          <w:numId w:val="0"/>
        </w:numPr>
        <w:spacing w:line="360" w:lineRule="auto"/>
        <w:ind w:left="905" w:leftChars="0"/>
        <w:rPr>
          <w:rFonts w:ascii="宋体" w:hAnsi="宋体" w:eastAsia="宋体"/>
          <w:szCs w:val="21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t>学位论文整篇的总复制比</w:t>
      </w:r>
      <w:r>
        <w:rPr>
          <w:color w:val="FF0000"/>
        </w:rPr>
        <w:t>大于40</w:t>
      </w:r>
      <w:r>
        <w:t>%，学生必须对其学位论文进行重大修改。学位论文修改时间</w:t>
      </w:r>
      <w:r>
        <w:rPr>
          <w:color w:val="FF0000"/>
        </w:rPr>
        <w:t>三个月</w:t>
      </w:r>
      <w:r>
        <w:t>。经导师和学院审核后再次提交申请论文送审、答辩。</w:t>
      </w:r>
    </w:p>
    <w:p>
      <w:pPr>
        <w:spacing w:line="360" w:lineRule="auto"/>
        <w:ind w:left="905"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根据不同的查重比例系统将判断相应的修改时间【修改时间从查重反馈时间算起】。若论文确已修改完成，参加报名抽检，你需要下载反馈表（学位论文查重检测结果及处理意见反馈表） 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7，经导师、院系审核签字，同意后，系统中上传反馈表附件。当附件上传后 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8，即可点击【报名抽检】自愿报名抽检。等待院系最终审核，提交抽检名单。</w:t>
      </w:r>
    </w:p>
    <w:p>
      <w:pPr>
        <w:pStyle w:val="15"/>
        <w:numPr>
          <w:ilvl w:val="0"/>
          <w:numId w:val="0"/>
        </w:numPr>
        <w:spacing w:line="360" w:lineRule="auto"/>
        <w:ind w:left="709" w:left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5.</w:t>
      </w:r>
      <w:r>
        <w:rPr>
          <w:rFonts w:hint="eastAsia" w:ascii="宋体" w:hAnsi="宋体" w:eastAsia="宋体"/>
          <w:szCs w:val="21"/>
        </w:rPr>
        <w:t>如图</w:t>
      </w:r>
      <w:r>
        <w:rPr>
          <w:rFonts w:hint="eastAsia" w:ascii="宋体" w:hAnsi="宋体" w:eastAsia="宋体"/>
          <w:szCs w:val="21"/>
          <w:lang w:val="en-US" w:eastAsia="zh-CN"/>
        </w:rPr>
        <w:t>4.5.</w:t>
      </w:r>
      <w:r>
        <w:rPr>
          <w:rFonts w:hint="eastAsia" w:ascii="宋体" w:hAnsi="宋体" w:eastAsia="宋体"/>
          <w:szCs w:val="21"/>
        </w:rPr>
        <w:t>9</w:t>
      </w:r>
      <w:r>
        <w:rPr>
          <w:rFonts w:ascii="宋体" w:hAnsi="宋体" w:eastAsia="宋体"/>
          <w:szCs w:val="21"/>
        </w:rPr>
        <w:t>,</w:t>
      </w:r>
      <w:r>
        <w:rPr>
          <w:rFonts w:hint="eastAsia" w:ascii="宋体" w:hAnsi="宋体" w:eastAsia="宋体"/>
          <w:szCs w:val="21"/>
        </w:rPr>
        <w:t>若被抽中，请按照要求上传抽检论文【</w:t>
      </w:r>
      <w:r>
        <w:rPr>
          <w:rFonts w:hint="eastAsia" w:ascii="宋体" w:hAnsi="宋体" w:eastAsia="宋体"/>
          <w:color w:val="FF0000"/>
          <w:szCs w:val="21"/>
        </w:rPr>
        <w:t>务必在抽检轮次结束第二天下午三点前</w:t>
      </w:r>
      <w:r>
        <w:rPr>
          <w:rFonts w:hint="eastAsia" w:ascii="宋体" w:hAnsi="宋体" w:eastAsia="宋体"/>
          <w:szCs w:val="21"/>
        </w:rPr>
        <w:t>】。</w:t>
      </w:r>
      <w:r>
        <w:rPr>
          <w:rFonts w:ascii="宋体" w:hAnsi="宋体" w:eastAsia="宋体"/>
          <w:szCs w:val="21"/>
        </w:rPr>
        <w:t>45天左右，进系统查询</w:t>
      </w:r>
      <w:r>
        <w:rPr>
          <w:rFonts w:hint="eastAsia" w:ascii="宋体" w:hAnsi="宋体" w:eastAsia="宋体"/>
          <w:szCs w:val="21"/>
        </w:rPr>
        <w:t>论文评阅意见</w:t>
      </w:r>
    </w:p>
    <w:p>
      <w:pPr>
        <w:spacing w:line="360" w:lineRule="auto"/>
        <w:ind w:left="425"/>
      </w:pPr>
      <w:r>
        <w:drawing>
          <wp:inline distT="0" distB="0" distL="0" distR="0">
            <wp:extent cx="5274310" cy="2576195"/>
            <wp:effectExtent l="0" t="0" r="1397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1：评阅信息填报</w:t>
      </w:r>
    </w:p>
    <w:p>
      <w:r>
        <w:drawing>
          <wp:inline distT="0" distB="0" distL="0" distR="0">
            <wp:extent cx="5274310" cy="2563495"/>
            <wp:effectExtent l="0" t="0" r="1397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2：查重 摘要上传</w:t>
      </w:r>
    </w:p>
    <w:p>
      <w:r>
        <w:drawing>
          <wp:inline distT="0" distB="0" distL="0" distR="0">
            <wp:extent cx="5274310" cy="2145030"/>
            <wp:effectExtent l="0" t="0" r="139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3：查重信息保存提交</w:t>
      </w:r>
    </w:p>
    <w:p>
      <w:r>
        <w:drawing>
          <wp:inline distT="0" distB="0" distL="0" distR="0">
            <wp:extent cx="5274310" cy="2395855"/>
            <wp:effectExtent l="0" t="0" r="1397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4：驳回修改</w:t>
      </w:r>
      <w:r>
        <w:t xml:space="preserve"> </w:t>
      </w:r>
    </w:p>
    <w:p>
      <w:r>
        <w:drawing>
          <wp:inline distT="0" distB="0" distL="0" distR="0">
            <wp:extent cx="5274310" cy="2346960"/>
            <wp:effectExtent l="0" t="0" r="139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5：查重通过</w:t>
      </w:r>
    </w:p>
    <w:p>
      <w:r>
        <w:drawing>
          <wp:inline distT="0" distB="0" distL="0" distR="0">
            <wp:extent cx="5274310" cy="2530475"/>
            <wp:effectExtent l="0" t="0" r="1397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6：查重不通过</w:t>
      </w:r>
    </w:p>
    <w:p>
      <w:r>
        <w:drawing>
          <wp:inline distT="0" distB="0" distL="0" distR="0">
            <wp:extent cx="5274310" cy="2829560"/>
            <wp:effectExtent l="0" t="0" r="1397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7：上传导师意见附件</w:t>
      </w:r>
    </w:p>
    <w:p>
      <w:pPr>
        <w:jc w:val="center"/>
        <w:rPr>
          <w:rFonts w:hint="eastAsia"/>
        </w:rPr>
      </w:pPr>
    </w:p>
    <w:p>
      <w:r>
        <w:drawing>
          <wp:inline distT="0" distB="0" distL="0" distR="0">
            <wp:extent cx="5274310" cy="2455545"/>
            <wp:effectExtent l="0" t="0" r="1397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8：报名抽检</w:t>
      </w:r>
    </w:p>
    <w:p>
      <w:pPr>
        <w:jc w:val="center"/>
        <w:rPr>
          <w:rFonts w:hint="eastAsia"/>
        </w:rPr>
      </w:pPr>
    </w:p>
    <w:p>
      <w:r>
        <w:drawing>
          <wp:inline distT="0" distB="0" distL="0" distR="0">
            <wp:extent cx="5274310" cy="2600960"/>
            <wp:effectExtent l="0" t="0" r="139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4.5.</w:t>
      </w:r>
      <w:r>
        <w:rPr>
          <w:rFonts w:hint="eastAsia"/>
        </w:rPr>
        <w:t>9：上传抽检论文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FF0000"/>
          <w:sz w:val="32"/>
          <w:szCs w:val="32"/>
          <w:highlight w:val="none"/>
          <w:lang w:val="en-US" w:eastAsia="zh-CN"/>
        </w:rPr>
        <w:t>后续流程待研究生院更新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等线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等线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17AAC"/>
    <w:multiLevelType w:val="multilevel"/>
    <w:tmpl w:val="0C717AAC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0DA77529"/>
    <w:multiLevelType w:val="multilevel"/>
    <w:tmpl w:val="0DA77529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160203B5"/>
    <w:multiLevelType w:val="multilevel"/>
    <w:tmpl w:val="160203B5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3">
    <w:nsid w:val="1C8D07BD"/>
    <w:multiLevelType w:val="multilevel"/>
    <w:tmpl w:val="1C8D07BD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2570605B"/>
    <w:multiLevelType w:val="multilevel"/>
    <w:tmpl w:val="2570605B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42475B21"/>
    <w:multiLevelType w:val="multilevel"/>
    <w:tmpl w:val="42475B21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6B"/>
    <w:rsid w:val="0002659E"/>
    <w:rsid w:val="000462C9"/>
    <w:rsid w:val="0004692A"/>
    <w:rsid w:val="00082DBA"/>
    <w:rsid w:val="000D039D"/>
    <w:rsid w:val="000D794C"/>
    <w:rsid w:val="0010557F"/>
    <w:rsid w:val="00182524"/>
    <w:rsid w:val="001A7D48"/>
    <w:rsid w:val="001E6892"/>
    <w:rsid w:val="00203849"/>
    <w:rsid w:val="00211ECB"/>
    <w:rsid w:val="00215A6F"/>
    <w:rsid w:val="002225F9"/>
    <w:rsid w:val="00236092"/>
    <w:rsid w:val="00262648"/>
    <w:rsid w:val="002F1321"/>
    <w:rsid w:val="003338DA"/>
    <w:rsid w:val="003F12A5"/>
    <w:rsid w:val="003F2A7C"/>
    <w:rsid w:val="00401AB4"/>
    <w:rsid w:val="00417807"/>
    <w:rsid w:val="00460EBD"/>
    <w:rsid w:val="004C526B"/>
    <w:rsid w:val="004E4E51"/>
    <w:rsid w:val="0052048D"/>
    <w:rsid w:val="00590687"/>
    <w:rsid w:val="005A2B35"/>
    <w:rsid w:val="005B3C6C"/>
    <w:rsid w:val="005C17AA"/>
    <w:rsid w:val="006107FF"/>
    <w:rsid w:val="006201A3"/>
    <w:rsid w:val="006337E3"/>
    <w:rsid w:val="006840C8"/>
    <w:rsid w:val="006B36A8"/>
    <w:rsid w:val="006D6288"/>
    <w:rsid w:val="006E5804"/>
    <w:rsid w:val="0074092F"/>
    <w:rsid w:val="007462FC"/>
    <w:rsid w:val="007915EA"/>
    <w:rsid w:val="007D4A1F"/>
    <w:rsid w:val="00822D54"/>
    <w:rsid w:val="008974E9"/>
    <w:rsid w:val="008A076B"/>
    <w:rsid w:val="008F01B3"/>
    <w:rsid w:val="008F5A48"/>
    <w:rsid w:val="00940622"/>
    <w:rsid w:val="00954A32"/>
    <w:rsid w:val="009A2DC2"/>
    <w:rsid w:val="009B6B2D"/>
    <w:rsid w:val="009C520F"/>
    <w:rsid w:val="00A25AC1"/>
    <w:rsid w:val="00AD2E52"/>
    <w:rsid w:val="00AE1A52"/>
    <w:rsid w:val="00AF0CDF"/>
    <w:rsid w:val="00B22AAA"/>
    <w:rsid w:val="00B2777A"/>
    <w:rsid w:val="00B320B1"/>
    <w:rsid w:val="00BF687B"/>
    <w:rsid w:val="00C10BA8"/>
    <w:rsid w:val="00C2758B"/>
    <w:rsid w:val="00C555C4"/>
    <w:rsid w:val="00CB629C"/>
    <w:rsid w:val="00D434D5"/>
    <w:rsid w:val="00D44C27"/>
    <w:rsid w:val="00D66D00"/>
    <w:rsid w:val="00DA2C7C"/>
    <w:rsid w:val="00E035C4"/>
    <w:rsid w:val="00E14CAC"/>
    <w:rsid w:val="00E42D33"/>
    <w:rsid w:val="00E63E51"/>
    <w:rsid w:val="00E664DF"/>
    <w:rsid w:val="00E803EB"/>
    <w:rsid w:val="00EC1A3D"/>
    <w:rsid w:val="00EF5C68"/>
    <w:rsid w:val="00F36541"/>
    <w:rsid w:val="00F72CC1"/>
    <w:rsid w:val="00F77177"/>
    <w:rsid w:val="00FA117B"/>
    <w:rsid w:val="00FC002C"/>
    <w:rsid w:val="00FE638D"/>
    <w:rsid w:val="0646579D"/>
    <w:rsid w:val="0B33398B"/>
    <w:rsid w:val="0D4C3BD7"/>
    <w:rsid w:val="0EE6782F"/>
    <w:rsid w:val="18090ED1"/>
    <w:rsid w:val="18795457"/>
    <w:rsid w:val="24125863"/>
    <w:rsid w:val="2B3C33EB"/>
    <w:rsid w:val="3FDF637F"/>
    <w:rsid w:val="40E82230"/>
    <w:rsid w:val="422C557E"/>
    <w:rsid w:val="46A146AA"/>
    <w:rsid w:val="478A4A7E"/>
    <w:rsid w:val="498D5FD8"/>
    <w:rsid w:val="595F7091"/>
    <w:rsid w:val="5CB43E63"/>
    <w:rsid w:val="5CFA19DE"/>
    <w:rsid w:val="5F813F81"/>
    <w:rsid w:val="64722392"/>
    <w:rsid w:val="653E22AE"/>
    <w:rsid w:val="68214B2A"/>
    <w:rsid w:val="6B0B67A3"/>
    <w:rsid w:val="71376AE4"/>
    <w:rsid w:val="752C63DB"/>
    <w:rsid w:val="77985178"/>
    <w:rsid w:val="79BE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标题 3 字符"/>
    <w:basedOn w:val="10"/>
    <w:link w:val="3"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character" w:customStyle="1" w:styleId="14">
    <w:name w:val="标题 4 字符"/>
    <w:basedOn w:val="10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WPSOffice手动目录 2"/>
    <w:qFormat/>
    <w:uiPriority w:val="0"/>
    <w:pPr>
      <w:ind w:leftChars="200"/>
    </w:pPr>
    <w:rPr>
      <w:rFonts w:ascii="等线" w:hAnsi="等线" w:eastAsia="等线" w:cs="Times New Roman"/>
      <w:sz w:val="20"/>
      <w:szCs w:val="20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等线" w:hAnsi="等线" w:eastAsia="等线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223</Words>
  <Characters>1273</Characters>
  <Lines>10</Lines>
  <Paragraphs>2</Paragraphs>
  <TotalTime>69</TotalTime>
  <ScaleCrop>false</ScaleCrop>
  <LinksUpToDate>false</LinksUpToDate>
  <CharactersWithSpaces>1494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2021-01-10T10:04:00Z</dcterms:created>
  <dc:creator>时 劭伟</dc:creator>
  <cp:lastModifiedBy>1</cp:lastModifiedBy>
  <dcterms:modified xsi:type="dcterms:W3CDTF">2021-03-29T03:59:00Z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170DAB4F3C364A67A52911B32344742D</vt:lpwstr>
  </property>
</Properties>
</file>